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C9" w:rsidRPr="00A3562B" w:rsidRDefault="00C259B1" w:rsidP="00A3562B">
      <w:pPr>
        <w:shd w:val="clear" w:color="auto" w:fill="FFFFFF"/>
        <w:spacing w:after="150"/>
        <w:jc w:val="center"/>
        <w:rPr>
          <w:rFonts w:eastAsia="Times New Roman"/>
          <w:b/>
          <w:bCs/>
          <w:color w:val="333333"/>
          <w:szCs w:val="24"/>
        </w:rPr>
      </w:pPr>
      <w:r w:rsidRPr="006C23C9">
        <w:rPr>
          <w:rFonts w:eastAsia="Times New Roman"/>
          <w:b/>
          <w:bCs/>
          <w:color w:val="333333"/>
          <w:szCs w:val="24"/>
        </w:rPr>
        <w:t>HIST 192</w:t>
      </w:r>
      <w:r w:rsidR="00A3562B">
        <w:rPr>
          <w:rFonts w:eastAsia="Times New Roman"/>
          <w:b/>
          <w:bCs/>
          <w:color w:val="333333"/>
          <w:szCs w:val="24"/>
        </w:rPr>
        <w:t xml:space="preserve"> </w:t>
      </w:r>
      <w:r w:rsidR="006C23C9" w:rsidRPr="006C23C9">
        <w:rPr>
          <w:rFonts w:eastAsia="Times New Roman"/>
          <w:b/>
          <w:bCs/>
          <w:color w:val="333333"/>
          <w:szCs w:val="24"/>
        </w:rPr>
        <w:t>(B) Grubu</w:t>
      </w:r>
    </w:p>
    <w:p w:rsidR="00E01E0F" w:rsidRPr="006C23C9" w:rsidRDefault="00587D1B" w:rsidP="00A3562B">
      <w:pPr>
        <w:spacing w:before="100" w:beforeAutospacing="1" w:after="100" w:afterAutospacing="1" w:line="240" w:lineRule="auto"/>
        <w:jc w:val="center"/>
        <w:rPr>
          <w:rFonts w:eastAsia="Times New Roman"/>
          <w:b/>
          <w:bCs/>
          <w:szCs w:val="24"/>
        </w:rPr>
      </w:pPr>
      <w:r>
        <w:rPr>
          <w:rFonts w:eastAsia="Times New Roman"/>
          <w:b/>
          <w:bCs/>
          <w:szCs w:val="24"/>
        </w:rPr>
        <w:t>2021-2022</w:t>
      </w:r>
      <w:r w:rsidR="00E01E0F" w:rsidRPr="006C23C9">
        <w:rPr>
          <w:rFonts w:eastAsia="Times New Roman"/>
          <w:b/>
          <w:bCs/>
          <w:szCs w:val="24"/>
        </w:rPr>
        <w:t xml:space="preserve"> Bahar Dönemi</w:t>
      </w:r>
    </w:p>
    <w:p w:rsidR="00E01E0F" w:rsidRPr="006C23C9" w:rsidRDefault="00E01E0F" w:rsidP="00E01E0F">
      <w:pPr>
        <w:spacing w:before="100" w:beforeAutospacing="1" w:after="100" w:afterAutospacing="1" w:line="240" w:lineRule="auto"/>
        <w:jc w:val="center"/>
        <w:rPr>
          <w:rFonts w:eastAsia="Times New Roman"/>
          <w:b/>
          <w:bCs/>
          <w:sz w:val="28"/>
          <w:szCs w:val="28"/>
        </w:rPr>
      </w:pPr>
      <w:r w:rsidRPr="006C23C9">
        <w:rPr>
          <w:rFonts w:eastAsia="Times New Roman"/>
          <w:b/>
          <w:bCs/>
          <w:sz w:val="28"/>
          <w:szCs w:val="28"/>
        </w:rPr>
        <w:t>Selçuk Akşin Somel</w:t>
      </w:r>
    </w:p>
    <w:p w:rsidR="00E01E0F" w:rsidRPr="006C23C9" w:rsidRDefault="006C23C9" w:rsidP="003564ED">
      <w:pPr>
        <w:spacing w:before="100" w:beforeAutospacing="1" w:after="100" w:afterAutospacing="1" w:line="240" w:lineRule="auto"/>
        <w:jc w:val="center"/>
        <w:rPr>
          <w:rFonts w:eastAsia="Times New Roman"/>
          <w:b/>
          <w:bCs/>
          <w:szCs w:val="24"/>
        </w:rPr>
      </w:pPr>
      <w:r>
        <w:rPr>
          <w:rFonts w:eastAsia="Times New Roman"/>
          <w:b/>
          <w:bCs/>
          <w:szCs w:val="24"/>
        </w:rPr>
        <w:t>Ders Günleri: Çarşamba</w:t>
      </w:r>
      <w:r w:rsidR="003564ED">
        <w:rPr>
          <w:rFonts w:eastAsia="Times New Roman"/>
          <w:b/>
          <w:bCs/>
          <w:szCs w:val="24"/>
        </w:rPr>
        <w:t xml:space="preserve">; </w:t>
      </w:r>
      <w:r>
        <w:rPr>
          <w:rFonts w:eastAsia="Times New Roman"/>
          <w:b/>
          <w:bCs/>
          <w:szCs w:val="24"/>
        </w:rPr>
        <w:t xml:space="preserve">Ders Saatleri: </w:t>
      </w:r>
      <w:r w:rsidR="00E01E0F" w:rsidRPr="006C23C9">
        <w:rPr>
          <w:rFonts w:eastAsia="Times New Roman"/>
          <w:b/>
          <w:bCs/>
          <w:szCs w:val="24"/>
        </w:rPr>
        <w:t>10:40-12:30</w:t>
      </w:r>
      <w:r w:rsidR="003564ED">
        <w:rPr>
          <w:rFonts w:eastAsia="Times New Roman"/>
          <w:b/>
          <w:bCs/>
          <w:szCs w:val="24"/>
        </w:rPr>
        <w:t xml:space="preserve">; </w:t>
      </w:r>
      <w:r>
        <w:rPr>
          <w:rFonts w:eastAsia="Times New Roman"/>
          <w:b/>
          <w:bCs/>
          <w:szCs w:val="24"/>
        </w:rPr>
        <w:t>Ders Mekânı: YBF Amfisi</w:t>
      </w:r>
      <w:r w:rsidR="00E01E0F" w:rsidRPr="006C23C9">
        <w:rPr>
          <w:rFonts w:eastAsia="Times New Roman"/>
          <w:b/>
          <w:bCs/>
          <w:szCs w:val="24"/>
        </w:rPr>
        <w:t xml:space="preserve"> </w:t>
      </w:r>
      <w:r>
        <w:rPr>
          <w:rFonts w:eastAsia="Times New Roman"/>
          <w:b/>
          <w:bCs/>
          <w:szCs w:val="24"/>
        </w:rPr>
        <w:t>(</w:t>
      </w:r>
      <w:r w:rsidR="00E01E0F" w:rsidRPr="006C23C9">
        <w:rPr>
          <w:rFonts w:eastAsia="Times New Roman"/>
          <w:b/>
          <w:bCs/>
          <w:szCs w:val="24"/>
        </w:rPr>
        <w:t>1099</w:t>
      </w:r>
      <w:r>
        <w:rPr>
          <w:rFonts w:eastAsia="Times New Roman"/>
          <w:b/>
          <w:bCs/>
          <w:szCs w:val="24"/>
        </w:rPr>
        <w:t>)</w:t>
      </w:r>
    </w:p>
    <w:p w:rsidR="00E01E0F" w:rsidRPr="00E01E0F" w:rsidRDefault="00945E70" w:rsidP="00047C85">
      <w:pPr>
        <w:spacing w:before="100" w:beforeAutospacing="1" w:after="100" w:afterAutospacing="1" w:line="240" w:lineRule="auto"/>
        <w:jc w:val="center"/>
        <w:rPr>
          <w:rFonts w:eastAsia="Times New Roman"/>
          <w:b/>
          <w:bCs/>
          <w:szCs w:val="24"/>
        </w:rPr>
      </w:pPr>
      <w:r>
        <w:rPr>
          <w:rFonts w:eastAsia="Times New Roman"/>
          <w:b/>
          <w:bCs/>
          <w:szCs w:val="24"/>
        </w:rPr>
        <w:t>Ofis Saatleri: Lütfen randevu alınız</w:t>
      </w:r>
    </w:p>
    <w:p w:rsidR="00945E70" w:rsidRPr="00945E70" w:rsidRDefault="00945E70" w:rsidP="00945E70">
      <w:pPr>
        <w:spacing w:before="100" w:beforeAutospacing="1" w:after="100" w:afterAutospacing="1" w:line="240" w:lineRule="auto"/>
        <w:jc w:val="center"/>
        <w:rPr>
          <w:b/>
        </w:rPr>
      </w:pPr>
      <w:r w:rsidRPr="00945E70">
        <w:rPr>
          <w:b/>
        </w:rPr>
        <w:t>Dersin İçeriği</w:t>
      </w:r>
    </w:p>
    <w:p w:rsidR="00945E70" w:rsidRPr="003564ED" w:rsidRDefault="00945E70" w:rsidP="00945E70">
      <w:pPr>
        <w:spacing w:before="100" w:beforeAutospacing="1" w:after="100" w:afterAutospacing="1" w:line="240" w:lineRule="auto"/>
        <w:ind w:firstLine="720"/>
        <w:jc w:val="both"/>
        <w:rPr>
          <w:sz w:val="22"/>
        </w:rPr>
      </w:pPr>
      <w:r w:rsidRPr="003564ED">
        <w:rPr>
          <w:sz w:val="22"/>
        </w:rPr>
        <w:t xml:space="preserve">Bu ders, HIST 191 dersinin devamı olup; 1908 II. Meşrutiyet döneminden 2000’li yıllara kadar olan dönemi ele almaktadır. </w:t>
      </w:r>
    </w:p>
    <w:p w:rsidR="00945E70" w:rsidRPr="003564ED" w:rsidRDefault="00945E70" w:rsidP="00945E70">
      <w:pPr>
        <w:pStyle w:val="BodyText"/>
        <w:ind w:firstLine="720"/>
        <w:rPr>
          <w:b w:val="0"/>
          <w:sz w:val="22"/>
          <w:szCs w:val="22"/>
          <w:lang w:val="de-DE"/>
        </w:rPr>
      </w:pPr>
      <w:r w:rsidRPr="003564ED">
        <w:rPr>
          <w:b w:val="0"/>
          <w:sz w:val="22"/>
          <w:szCs w:val="22"/>
          <w:lang w:val="de-DE"/>
        </w:rPr>
        <w:t>Türkiye’nin moder</w:t>
      </w:r>
      <w:r w:rsidR="00A3562B" w:rsidRPr="003564ED">
        <w:rPr>
          <w:b w:val="0"/>
          <w:sz w:val="22"/>
          <w:szCs w:val="22"/>
          <w:lang w:val="de-DE"/>
        </w:rPr>
        <w:t>nleşme târihinin öyküsünün 20. Y</w:t>
      </w:r>
      <w:r w:rsidRPr="003564ED">
        <w:rPr>
          <w:b w:val="0"/>
          <w:sz w:val="22"/>
          <w:szCs w:val="22"/>
          <w:lang w:val="de-DE"/>
        </w:rPr>
        <w:t>üzyılına denk düşen bölümü, bu dersin içeriğini oluşturur. Dersin ana felsefesi, içinde yaşadığımız coğrafyada ve toplumda son 100 yıllık târihsel öykünün sürekliliğini ve kesintilerini ortaya koyarak, dün ile bugün arasındaki görünür ve görünmez bağları gözler önüne sermek ve öğrencilerde bir târih duyarlılığı oluşturmaktır. Geçmişin bilincinde ve farkında olmak, günümüzü algılamak ve değerlendirmek açısından önemlidir.</w:t>
      </w:r>
    </w:p>
    <w:p w:rsidR="00945E70" w:rsidRPr="003564ED" w:rsidRDefault="00945E70" w:rsidP="00945E70">
      <w:pPr>
        <w:spacing w:before="100" w:beforeAutospacing="1" w:after="100" w:afterAutospacing="1" w:line="240" w:lineRule="auto"/>
        <w:ind w:firstLine="720"/>
        <w:jc w:val="both"/>
        <w:rPr>
          <w:sz w:val="22"/>
        </w:rPr>
      </w:pPr>
      <w:r w:rsidRPr="003564ED">
        <w:rPr>
          <w:sz w:val="22"/>
        </w:rPr>
        <w:t>Bu çerçevede; ders, Jön Türklerin 1908 yılında</w:t>
      </w:r>
      <w:r w:rsidR="00C00CE5" w:rsidRPr="003564ED">
        <w:rPr>
          <w:sz w:val="22"/>
        </w:rPr>
        <w:t xml:space="preserve"> yüz yüze geldikleri “ya devrim, ya imparatorluk”</w:t>
      </w:r>
      <w:r w:rsidRPr="003564ED">
        <w:rPr>
          <w:sz w:val="22"/>
        </w:rPr>
        <w:t xml:space="preserve"> ikilemi; 1910’</w:t>
      </w:r>
      <w:r w:rsidR="00C00CE5" w:rsidRPr="003564ED">
        <w:rPr>
          <w:sz w:val="22"/>
        </w:rPr>
        <w:t>ların entelektüel kaynaşması; Ba</w:t>
      </w:r>
      <w:r w:rsidRPr="003564ED">
        <w:rPr>
          <w:sz w:val="22"/>
        </w:rPr>
        <w:t>lkan Savaşları ile Çanakkale/Gelibolu savunmasının</w:t>
      </w:r>
      <w:r w:rsidR="00C00CE5" w:rsidRPr="003564ED">
        <w:rPr>
          <w:sz w:val="22"/>
        </w:rPr>
        <w:t xml:space="preserve"> Türk milliyetçiliği üzerindeki etkisi; Anadolucu bir halkçılığın başlangı</w:t>
      </w:r>
      <w:r w:rsidRPr="003564ED">
        <w:rPr>
          <w:sz w:val="22"/>
        </w:rPr>
        <w:t>cı; 1918/19</w:t>
      </w:r>
      <w:r w:rsidR="00C00CE5" w:rsidRPr="003564ED">
        <w:rPr>
          <w:sz w:val="22"/>
        </w:rPr>
        <w:t>19 yıllarının bitkinlik ve bezginliğine karşın, son bir mücadele çağrısının yükselmesi; yeni bir önderliğin ve direniş platformunun oluşturulması; İstiklal mücadelesinin dayandırıldığı büyük ittifakta yerel ve ulusal unsurların pay</w:t>
      </w:r>
      <w:r w:rsidRPr="003564ED">
        <w:rPr>
          <w:sz w:val="22"/>
        </w:rPr>
        <w:t>ı gibi konu ve temalara açılıyor</w:t>
      </w:r>
      <w:r w:rsidR="00C00CE5" w:rsidRPr="003564ED">
        <w:rPr>
          <w:sz w:val="22"/>
        </w:rPr>
        <w:t xml:space="preserve">. </w:t>
      </w:r>
    </w:p>
    <w:p w:rsidR="00945E70" w:rsidRPr="003564ED" w:rsidRDefault="00C00CE5" w:rsidP="00945E70">
      <w:pPr>
        <w:spacing w:before="100" w:beforeAutospacing="1" w:after="100" w:afterAutospacing="1" w:line="240" w:lineRule="auto"/>
        <w:ind w:firstLine="720"/>
        <w:jc w:val="both"/>
        <w:rPr>
          <w:sz w:val="22"/>
        </w:rPr>
      </w:pPr>
      <w:r w:rsidRPr="003564ED">
        <w:rPr>
          <w:sz w:val="22"/>
        </w:rPr>
        <w:t>1923 sonrasına ilişkin önemli meseleler ise şöyle inceleniyor</w:t>
      </w:r>
      <w:r w:rsidR="00945E70" w:rsidRPr="003564ED">
        <w:rPr>
          <w:sz w:val="22"/>
        </w:rPr>
        <w:t>: Kemalist inşa ve yapılanma; reformlar ve devrimler; e</w:t>
      </w:r>
      <w:r w:rsidRPr="003564ED">
        <w:rPr>
          <w:sz w:val="22"/>
        </w:rPr>
        <w:t>konominin yeni</w:t>
      </w:r>
      <w:r w:rsidR="00945E70" w:rsidRPr="003564ED">
        <w:rPr>
          <w:sz w:val="22"/>
        </w:rPr>
        <w:t xml:space="preserve">den inşası; </w:t>
      </w:r>
      <w:r w:rsidRPr="003564ED">
        <w:rPr>
          <w:sz w:val="22"/>
        </w:rPr>
        <w:t xml:space="preserve">yeni bir ulusal kimliğin inşası; Büyük Dünya Buhranı ve daha devletçi bir ekonomi politikasının benimsenmesi; </w:t>
      </w:r>
      <w:r w:rsidR="00945E70" w:rsidRPr="003564ED">
        <w:rPr>
          <w:sz w:val="22"/>
        </w:rPr>
        <w:t>İkinci Dünya Savaşı’nın</w:t>
      </w:r>
      <w:r w:rsidRPr="003564ED">
        <w:rPr>
          <w:sz w:val="22"/>
        </w:rPr>
        <w:t xml:space="preserve"> zorlukları; 1946-</w:t>
      </w:r>
      <w:r w:rsidR="00945E70" w:rsidRPr="003564ED">
        <w:rPr>
          <w:sz w:val="22"/>
        </w:rPr>
        <w:t>19</w:t>
      </w:r>
      <w:r w:rsidRPr="003564ED">
        <w:rPr>
          <w:sz w:val="22"/>
        </w:rPr>
        <w:t>50, yani çoğulcu parlamenter düzene geçiş yılları.</w:t>
      </w:r>
      <w:r w:rsidR="00945E70" w:rsidRPr="003564ED">
        <w:rPr>
          <w:sz w:val="22"/>
        </w:rPr>
        <w:t>..</w:t>
      </w:r>
      <w:r w:rsidRPr="003564ED">
        <w:rPr>
          <w:sz w:val="22"/>
        </w:rPr>
        <w:t xml:space="preserve"> </w:t>
      </w:r>
    </w:p>
    <w:p w:rsidR="00945E70" w:rsidRPr="003564ED" w:rsidRDefault="00C00CE5" w:rsidP="00945E70">
      <w:pPr>
        <w:spacing w:before="100" w:beforeAutospacing="1" w:after="100" w:afterAutospacing="1" w:line="240" w:lineRule="auto"/>
        <w:ind w:firstLine="720"/>
        <w:jc w:val="both"/>
        <w:rPr>
          <w:sz w:val="22"/>
        </w:rPr>
      </w:pPr>
      <w:r w:rsidRPr="003564ED">
        <w:rPr>
          <w:sz w:val="22"/>
        </w:rPr>
        <w:t xml:space="preserve">Bundan sonra Demokrat Parti dönemi, ekonomik büyüme ve altyapı gelişmeleri </w:t>
      </w:r>
      <w:r w:rsidR="001E6A6D" w:rsidRPr="003564ED">
        <w:rPr>
          <w:sz w:val="22"/>
        </w:rPr>
        <w:t>gözden geçirilirken</w:t>
      </w:r>
      <w:r w:rsidR="00945E70" w:rsidRPr="003564ED">
        <w:rPr>
          <w:sz w:val="22"/>
        </w:rPr>
        <w:t>;</w:t>
      </w:r>
      <w:r w:rsidRPr="003564ED">
        <w:rPr>
          <w:sz w:val="22"/>
        </w:rPr>
        <w:t xml:space="preserve"> Cumhuriyet Halk Partisi muhalefeti ve 1924 Anayasası’nın getirdiği kısıtlar çerçevesinde çok partili demokraside karşılaşılan zorluklar ele alınıyor. </w:t>
      </w:r>
    </w:p>
    <w:p w:rsidR="00945E70" w:rsidRPr="003564ED" w:rsidRDefault="00593761" w:rsidP="00945E70">
      <w:pPr>
        <w:spacing w:before="100" w:beforeAutospacing="1" w:after="100" w:afterAutospacing="1" w:line="240" w:lineRule="auto"/>
        <w:ind w:firstLine="720"/>
        <w:jc w:val="both"/>
        <w:rPr>
          <w:sz w:val="22"/>
        </w:rPr>
      </w:pPr>
      <w:r w:rsidRPr="003564ED">
        <w:rPr>
          <w:sz w:val="22"/>
        </w:rPr>
        <w:t>Dersin bunu izleyen bölümü</w:t>
      </w:r>
      <w:r w:rsidR="00945E70" w:rsidRPr="003564ED">
        <w:rPr>
          <w:sz w:val="22"/>
        </w:rPr>
        <w:t>;</w:t>
      </w:r>
      <w:r w:rsidRPr="003564ED">
        <w:rPr>
          <w:sz w:val="22"/>
        </w:rPr>
        <w:t xml:space="preserve"> ekonomik darboğaz ve iç siyasal gerginliğin beraberinde getirdiği </w:t>
      </w:r>
      <w:r w:rsidR="00945E70" w:rsidRPr="003564ED">
        <w:rPr>
          <w:sz w:val="22"/>
        </w:rPr>
        <w:t>27 Mayıs 1960 askerî d</w:t>
      </w:r>
      <w:r w:rsidRPr="003564ED">
        <w:rPr>
          <w:sz w:val="22"/>
        </w:rPr>
        <w:t>arbesi</w:t>
      </w:r>
      <w:r w:rsidR="00945E70" w:rsidRPr="003564ED">
        <w:rPr>
          <w:sz w:val="22"/>
        </w:rPr>
        <w:t>ni</w:t>
      </w:r>
      <w:r w:rsidRPr="003564ED">
        <w:rPr>
          <w:sz w:val="22"/>
        </w:rPr>
        <w:t>, 1961 Anayasası ve Türk siyasetindek</w:t>
      </w:r>
      <w:r w:rsidR="00945E70" w:rsidRPr="003564ED">
        <w:rPr>
          <w:sz w:val="22"/>
        </w:rPr>
        <w:t>i bazı “ilk”leri  konu alıyor: O</w:t>
      </w:r>
      <w:r w:rsidRPr="003564ED">
        <w:rPr>
          <w:sz w:val="22"/>
        </w:rPr>
        <w:t>rdunun siyasetteki müdahil rolü, koalisyon hükümetleri, sosyal politikalar, sol ve İslamcı hareketlerin meşru siyasete entegre olmaları ve dış siyasette yeni açılımlar</w:t>
      </w:r>
      <w:r w:rsidR="00945E70" w:rsidRPr="003564ED">
        <w:rPr>
          <w:sz w:val="22"/>
        </w:rPr>
        <w:t>..</w:t>
      </w:r>
      <w:r w:rsidRPr="003564ED">
        <w:rPr>
          <w:sz w:val="22"/>
        </w:rPr>
        <w:t xml:space="preserve">. </w:t>
      </w:r>
    </w:p>
    <w:p w:rsidR="00212E7C" w:rsidRPr="003564ED" w:rsidRDefault="00846E1F" w:rsidP="00945E70">
      <w:pPr>
        <w:spacing w:before="100" w:beforeAutospacing="1" w:after="100" w:afterAutospacing="1" w:line="240" w:lineRule="auto"/>
        <w:ind w:firstLine="720"/>
        <w:jc w:val="both"/>
        <w:rPr>
          <w:sz w:val="22"/>
        </w:rPr>
      </w:pPr>
      <w:r w:rsidRPr="003564ED">
        <w:rPr>
          <w:sz w:val="22"/>
        </w:rPr>
        <w:t xml:space="preserve">Dersin son kısmı </w:t>
      </w:r>
      <w:r w:rsidR="00945E70" w:rsidRPr="003564ED">
        <w:rPr>
          <w:sz w:val="22"/>
        </w:rPr>
        <w:t xml:space="preserve">ise; </w:t>
      </w:r>
      <w:r w:rsidRPr="003564ED">
        <w:rPr>
          <w:sz w:val="22"/>
        </w:rPr>
        <w:t>1961 Anayasası’nın beli</w:t>
      </w:r>
      <w:r w:rsidR="00945E70" w:rsidRPr="003564ED">
        <w:rPr>
          <w:sz w:val="22"/>
        </w:rPr>
        <w:t>rlediği devrenin 12 Eylül 1980 a</w:t>
      </w:r>
      <w:r w:rsidRPr="003564ED">
        <w:rPr>
          <w:sz w:val="22"/>
        </w:rPr>
        <w:t xml:space="preserve">skerî </w:t>
      </w:r>
      <w:r w:rsidR="00945E70" w:rsidRPr="003564ED">
        <w:rPr>
          <w:sz w:val="22"/>
        </w:rPr>
        <w:t>d</w:t>
      </w:r>
      <w:r w:rsidR="00212E7C" w:rsidRPr="003564ED">
        <w:rPr>
          <w:sz w:val="22"/>
        </w:rPr>
        <w:t xml:space="preserve">arbesi ile sona ermesi, tam anlamıyla piyasa ekonomisine geçiş ve 1982 Anayasası’nın </w:t>
      </w:r>
      <w:r w:rsidR="001E6A6D" w:rsidRPr="003564ED">
        <w:rPr>
          <w:sz w:val="22"/>
        </w:rPr>
        <w:t xml:space="preserve">hukukî </w:t>
      </w:r>
      <w:r w:rsidR="00212E7C" w:rsidRPr="003564ED">
        <w:rPr>
          <w:sz w:val="22"/>
        </w:rPr>
        <w:t>çerçevesini hazırlayıp</w:t>
      </w:r>
      <w:r w:rsidR="00945E70" w:rsidRPr="003564ED">
        <w:rPr>
          <w:sz w:val="22"/>
        </w:rPr>
        <w:t>,</w:t>
      </w:r>
      <w:r w:rsidR="00212E7C" w:rsidRPr="003564ED">
        <w:rPr>
          <w:sz w:val="22"/>
        </w:rPr>
        <w:t xml:space="preserve"> 2000’li yıllara kadar devam eden vesayetçi sistemi tartışıyor.</w:t>
      </w:r>
    </w:p>
    <w:p w:rsidR="003564ED" w:rsidRDefault="003564ED" w:rsidP="00370860">
      <w:pPr>
        <w:pStyle w:val="BodyText"/>
        <w:ind w:firstLine="720"/>
        <w:rPr>
          <w:sz w:val="22"/>
          <w:szCs w:val="22"/>
          <w:lang w:val="de-DE"/>
        </w:rPr>
      </w:pPr>
    </w:p>
    <w:p w:rsidR="00761C45" w:rsidRPr="003564ED" w:rsidRDefault="00A3562B" w:rsidP="00370860">
      <w:pPr>
        <w:pStyle w:val="BodyText"/>
        <w:ind w:firstLine="720"/>
        <w:rPr>
          <w:sz w:val="22"/>
          <w:szCs w:val="22"/>
          <w:lang w:val="de-DE"/>
        </w:rPr>
      </w:pPr>
      <w:r w:rsidRPr="003564ED">
        <w:rPr>
          <w:sz w:val="22"/>
          <w:szCs w:val="22"/>
          <w:lang w:val="de-DE"/>
        </w:rPr>
        <w:lastRenderedPageBreak/>
        <w:t>Ders kitabı</w:t>
      </w:r>
    </w:p>
    <w:p w:rsidR="00761C45" w:rsidRPr="003564ED" w:rsidRDefault="00761C45" w:rsidP="00370860">
      <w:pPr>
        <w:pStyle w:val="BodyText"/>
        <w:ind w:firstLine="720"/>
        <w:rPr>
          <w:b w:val="0"/>
          <w:sz w:val="22"/>
          <w:szCs w:val="22"/>
          <w:lang w:val="de-DE"/>
        </w:rPr>
      </w:pPr>
    </w:p>
    <w:p w:rsidR="00370860" w:rsidRPr="003564ED" w:rsidRDefault="00370860" w:rsidP="00370860">
      <w:pPr>
        <w:pStyle w:val="BodyText"/>
        <w:ind w:firstLine="720"/>
        <w:rPr>
          <w:b w:val="0"/>
          <w:sz w:val="22"/>
          <w:szCs w:val="22"/>
          <w:lang w:val="de-DE"/>
        </w:rPr>
      </w:pPr>
      <w:r w:rsidRPr="003564ED">
        <w:rPr>
          <w:b w:val="0"/>
          <w:sz w:val="22"/>
          <w:szCs w:val="22"/>
          <w:lang w:val="de-DE"/>
        </w:rPr>
        <w:t>Dönem boyunca okunması gereken metinler her hafta için ayrı ayrı gösterilmek sûretiy</w:t>
      </w:r>
      <w:r w:rsidR="00761C45" w:rsidRPr="003564ED">
        <w:rPr>
          <w:b w:val="0"/>
          <w:sz w:val="22"/>
          <w:szCs w:val="22"/>
          <w:lang w:val="de-DE"/>
        </w:rPr>
        <w:t>le hazırlanmıştır. Dersin</w:t>
      </w:r>
      <w:r w:rsidRPr="003564ED">
        <w:rPr>
          <w:b w:val="0"/>
          <w:sz w:val="22"/>
          <w:szCs w:val="22"/>
          <w:lang w:val="de-DE"/>
        </w:rPr>
        <w:t xml:space="preserve"> kitabı (Erik Zürcher: </w:t>
      </w:r>
      <w:r w:rsidRPr="003564ED">
        <w:rPr>
          <w:sz w:val="22"/>
          <w:szCs w:val="22"/>
          <w:lang w:val="de-DE"/>
        </w:rPr>
        <w:t>Modernleşen Türkiye’nin Tarihi</w:t>
      </w:r>
      <w:r w:rsidRPr="003564ED">
        <w:rPr>
          <w:b w:val="0"/>
          <w:sz w:val="22"/>
          <w:szCs w:val="22"/>
          <w:lang w:val="de-DE"/>
        </w:rPr>
        <w:t>/</w:t>
      </w:r>
      <w:r w:rsidR="00587D1B">
        <w:rPr>
          <w:b w:val="0"/>
          <w:sz w:val="22"/>
          <w:szCs w:val="22"/>
          <w:lang w:val="de-DE"/>
        </w:rPr>
        <w:t>4. Baskı-</w:t>
      </w:r>
      <w:r w:rsidRPr="003564ED">
        <w:rPr>
          <w:b w:val="0"/>
          <w:sz w:val="22"/>
          <w:szCs w:val="22"/>
          <w:lang w:val="de-DE"/>
        </w:rPr>
        <w:t>İletişim Yayınları</w:t>
      </w:r>
      <w:r w:rsidR="00587D1B">
        <w:rPr>
          <w:b w:val="0"/>
          <w:sz w:val="22"/>
          <w:szCs w:val="22"/>
          <w:lang w:val="de-DE"/>
        </w:rPr>
        <w:t>, 2019</w:t>
      </w:r>
      <w:r w:rsidR="00761C45" w:rsidRPr="003564ED">
        <w:rPr>
          <w:b w:val="0"/>
          <w:sz w:val="22"/>
          <w:szCs w:val="22"/>
          <w:lang w:val="de-DE"/>
        </w:rPr>
        <w:t>)</w:t>
      </w:r>
      <w:r w:rsidRPr="003564ED">
        <w:rPr>
          <w:b w:val="0"/>
          <w:sz w:val="22"/>
          <w:szCs w:val="22"/>
          <w:lang w:val="de-DE"/>
        </w:rPr>
        <w:t xml:space="preserve"> Üniversite Merkezi’ndeki Homer Kitabevi’nde satışa sunulmuştur.  Öğrenciler </w:t>
      </w:r>
      <w:r w:rsidR="00761C45" w:rsidRPr="003564ED">
        <w:rPr>
          <w:b w:val="0"/>
          <w:sz w:val="22"/>
          <w:szCs w:val="22"/>
          <w:lang w:val="de-DE"/>
        </w:rPr>
        <w:t xml:space="preserve">sınavlarda </w:t>
      </w:r>
      <w:r w:rsidRPr="003564ED">
        <w:rPr>
          <w:b w:val="0"/>
          <w:sz w:val="22"/>
          <w:szCs w:val="22"/>
          <w:lang w:val="de-DE"/>
        </w:rPr>
        <w:t xml:space="preserve">bu </w:t>
      </w:r>
      <w:r w:rsidR="00761C45" w:rsidRPr="003564ED">
        <w:rPr>
          <w:b w:val="0"/>
          <w:sz w:val="22"/>
          <w:szCs w:val="22"/>
          <w:lang w:val="de-DE"/>
        </w:rPr>
        <w:t>kitabın</w:t>
      </w:r>
      <w:r w:rsidRPr="003564ED">
        <w:rPr>
          <w:b w:val="0"/>
          <w:sz w:val="22"/>
          <w:szCs w:val="22"/>
          <w:lang w:val="de-DE"/>
        </w:rPr>
        <w:t xml:space="preserve"> II. Meşrutiyet’in başından sonuna kadar (1908-2000 yılları arasından) sorumlu </w:t>
      </w:r>
      <w:r w:rsidR="00761C45" w:rsidRPr="003564ED">
        <w:rPr>
          <w:b w:val="0"/>
          <w:sz w:val="22"/>
          <w:szCs w:val="22"/>
          <w:lang w:val="de-DE"/>
        </w:rPr>
        <w:t>tutulacaklardır.</w:t>
      </w:r>
      <w:r w:rsidRPr="003564ED">
        <w:rPr>
          <w:b w:val="0"/>
          <w:sz w:val="22"/>
          <w:szCs w:val="22"/>
          <w:lang w:val="de-DE"/>
        </w:rPr>
        <w:t xml:space="preserve">  </w:t>
      </w:r>
    </w:p>
    <w:p w:rsidR="00370860" w:rsidRPr="003564ED" w:rsidRDefault="00370860" w:rsidP="00370860">
      <w:pPr>
        <w:pStyle w:val="BodyText"/>
        <w:rPr>
          <w:b w:val="0"/>
          <w:sz w:val="22"/>
          <w:szCs w:val="22"/>
          <w:lang w:val="de-DE"/>
        </w:rPr>
      </w:pPr>
    </w:p>
    <w:p w:rsidR="00370860" w:rsidRPr="003564ED" w:rsidRDefault="00370860" w:rsidP="00761C45">
      <w:pPr>
        <w:pStyle w:val="BodyText"/>
        <w:ind w:firstLine="720"/>
        <w:rPr>
          <w:b w:val="0"/>
          <w:sz w:val="22"/>
          <w:szCs w:val="22"/>
          <w:lang w:val="de-DE"/>
        </w:rPr>
      </w:pPr>
      <w:r w:rsidRPr="003564ED">
        <w:rPr>
          <w:b w:val="0"/>
          <w:sz w:val="22"/>
          <w:szCs w:val="22"/>
          <w:lang w:val="de-DE"/>
        </w:rPr>
        <w:t>Öğrencilerin her dersten önce ilgili metinleri okumaları ve derse bu hazırlıktan sonra gelmeleri beklenir. Okumaların zamânında yapılmasının öğrencilerin başarısını doğrudan etkileyeceği unutulmamalıdır. Derse devam çok önemlidir. Ders konuları ve okumalar 14 haftalık program olarak aşağıda ayrıntıları ile sunulmaktadır.</w:t>
      </w:r>
    </w:p>
    <w:p w:rsidR="00761C45" w:rsidRPr="003564ED" w:rsidRDefault="00171551" w:rsidP="008A3455">
      <w:pPr>
        <w:spacing w:before="100" w:beforeAutospacing="1" w:after="100" w:afterAutospacing="1" w:line="240" w:lineRule="auto"/>
        <w:ind w:firstLine="720"/>
        <w:jc w:val="both"/>
        <w:rPr>
          <w:b/>
          <w:sz w:val="22"/>
        </w:rPr>
      </w:pPr>
      <w:r w:rsidRPr="003564ED">
        <w:rPr>
          <w:b/>
          <w:sz w:val="22"/>
        </w:rPr>
        <w:t>Sınav ve not sistemi</w:t>
      </w:r>
    </w:p>
    <w:p w:rsidR="00761C45" w:rsidRPr="003564ED" w:rsidRDefault="00761C45" w:rsidP="008A3455">
      <w:pPr>
        <w:pStyle w:val="BodyText"/>
        <w:ind w:firstLine="720"/>
        <w:rPr>
          <w:b w:val="0"/>
          <w:sz w:val="22"/>
          <w:szCs w:val="22"/>
          <w:lang w:val="de-DE"/>
        </w:rPr>
      </w:pPr>
      <w:r w:rsidRPr="003564ED">
        <w:rPr>
          <w:b w:val="0"/>
          <w:sz w:val="22"/>
          <w:szCs w:val="22"/>
          <w:lang w:val="de-DE"/>
        </w:rPr>
        <w:t>Ara sınav</w:t>
      </w:r>
      <w:r w:rsidR="00A3562B" w:rsidRPr="003564ED">
        <w:rPr>
          <w:b w:val="0"/>
          <w:sz w:val="22"/>
          <w:szCs w:val="22"/>
          <w:lang w:val="de-DE"/>
        </w:rPr>
        <w:t xml:space="preserve"> % 50 ve final sınavı da % 50 oranında geçme (harf) notunu oluşturacaktır</w:t>
      </w:r>
      <w:r w:rsidRPr="003564ED">
        <w:rPr>
          <w:b w:val="0"/>
          <w:sz w:val="22"/>
          <w:szCs w:val="22"/>
          <w:lang w:val="de-DE"/>
        </w:rPr>
        <w:t xml:space="preserve">. </w:t>
      </w:r>
    </w:p>
    <w:p w:rsidR="003564ED" w:rsidRPr="003564ED" w:rsidRDefault="003564ED" w:rsidP="003564ED">
      <w:pPr>
        <w:pStyle w:val="BodyText"/>
        <w:rPr>
          <w:b w:val="0"/>
          <w:sz w:val="22"/>
          <w:szCs w:val="22"/>
          <w:lang w:val="de-DE"/>
        </w:rPr>
      </w:pPr>
    </w:p>
    <w:p w:rsidR="003564ED" w:rsidRPr="003564ED" w:rsidRDefault="003564ED" w:rsidP="008A3455">
      <w:pPr>
        <w:pStyle w:val="BodyText"/>
        <w:ind w:firstLine="720"/>
        <w:rPr>
          <w:b w:val="0"/>
          <w:sz w:val="22"/>
          <w:szCs w:val="22"/>
          <w:lang w:val="de-DE"/>
        </w:rPr>
      </w:pPr>
      <w:r w:rsidRPr="003564ED">
        <w:rPr>
          <w:b w:val="0"/>
          <w:sz w:val="22"/>
          <w:szCs w:val="22"/>
          <w:lang w:val="de-DE"/>
        </w:rPr>
        <w:t xml:space="preserve">Öğrenciler, ara sınavda, o târihe kadar (ilk yedi haftada) okunan ve derslerde anlatılan konulardan sorumlu tutulacaklardır. </w:t>
      </w:r>
    </w:p>
    <w:p w:rsidR="00761C45" w:rsidRPr="003564ED" w:rsidRDefault="006D4B47" w:rsidP="008A3455">
      <w:pPr>
        <w:spacing w:before="100" w:beforeAutospacing="1" w:after="100" w:afterAutospacing="1" w:line="240" w:lineRule="auto"/>
        <w:ind w:firstLine="720"/>
        <w:jc w:val="both"/>
        <w:rPr>
          <w:rFonts w:eastAsia="Times New Roman"/>
          <w:bCs/>
          <w:sz w:val="22"/>
        </w:rPr>
      </w:pPr>
      <w:r w:rsidRPr="003564ED">
        <w:rPr>
          <w:rFonts w:eastAsia="Times New Roman"/>
          <w:bCs/>
          <w:sz w:val="22"/>
        </w:rPr>
        <w:t>Final sınavı, akademik dönemin bitiminde yapılacaktır. Final sınavındaki içerik ağırlığı; dönemin 7. haftasından 14. haftanın bitimine kadar işlenmiş olan konuları kapsayacaktır. Ancak kısıtlı da olsa bundan önce işlenmiş konular da soru olarak yer alabilecektir.</w:t>
      </w:r>
    </w:p>
    <w:p w:rsidR="00761C45" w:rsidRPr="003564ED" w:rsidRDefault="00761C45" w:rsidP="008A3455">
      <w:pPr>
        <w:pStyle w:val="BodyText"/>
        <w:ind w:firstLine="720"/>
        <w:rPr>
          <w:b w:val="0"/>
          <w:sz w:val="22"/>
          <w:szCs w:val="22"/>
          <w:lang w:val="de-DE"/>
        </w:rPr>
      </w:pPr>
      <w:r w:rsidRPr="003564ED">
        <w:rPr>
          <w:b w:val="0"/>
          <w:sz w:val="22"/>
          <w:szCs w:val="22"/>
          <w:lang w:val="de-DE"/>
        </w:rPr>
        <w:t xml:space="preserve">Sınav soruları, öğrencilerin ezber yeteneklerinin gücünü değil, bilgi, tahlil, karşılaştırma ve değerlendirme yeteneklerini ölçmek üzere hazırlanacaktır. </w:t>
      </w:r>
    </w:p>
    <w:p w:rsidR="00A3562B" w:rsidRPr="003564ED" w:rsidRDefault="00A3562B" w:rsidP="008A3455">
      <w:pPr>
        <w:spacing w:before="100" w:beforeAutospacing="1" w:after="100" w:afterAutospacing="1" w:line="240" w:lineRule="auto"/>
        <w:ind w:firstLine="720"/>
        <w:jc w:val="both"/>
        <w:rPr>
          <w:rFonts w:eastAsia="Times New Roman"/>
          <w:bCs/>
          <w:sz w:val="22"/>
        </w:rPr>
      </w:pPr>
      <w:r w:rsidRPr="003564ED">
        <w:rPr>
          <w:rFonts w:eastAsia="Times New Roman"/>
          <w:bCs/>
          <w:sz w:val="22"/>
        </w:rPr>
        <w:t>Soruların yapısı</w:t>
      </w:r>
      <w:r w:rsidR="003564ED" w:rsidRPr="003564ED">
        <w:rPr>
          <w:rFonts w:eastAsia="Times New Roman"/>
          <w:bCs/>
          <w:sz w:val="22"/>
        </w:rPr>
        <w:t>,</w:t>
      </w:r>
      <w:r w:rsidRPr="003564ED">
        <w:rPr>
          <w:rFonts w:eastAsia="Times New Roman"/>
          <w:bCs/>
          <w:sz w:val="22"/>
        </w:rPr>
        <w:t xml:space="preserve"> öğrencilerin kendilerini yazılı olarak ifade etmelerini sağlamaya yöneliktir. Bu nedenle sorular</w:t>
      </w:r>
      <w:r w:rsidR="003564ED" w:rsidRPr="003564ED">
        <w:rPr>
          <w:rFonts w:eastAsia="Times New Roman"/>
          <w:bCs/>
          <w:sz w:val="22"/>
        </w:rPr>
        <w:t>,</w:t>
      </w:r>
      <w:r w:rsidRPr="003564ED">
        <w:rPr>
          <w:rFonts w:eastAsia="Times New Roman"/>
          <w:bCs/>
          <w:sz w:val="22"/>
        </w:rPr>
        <w:t xml:space="preserve"> çoğunlukla öğrencilerin ders boyunca öğrendiklerini ve sorumlu oldukları kitaptan okuduklarını zihinlerinde tartarak usavurmaya zorlayıcı nitelikte olacaktır. Diğer bir ifadeyle, öğrencilerin sağlam bilgilere dayalı mantıklı argümantasyon içeren kompozisyonlar yazmaları beklenecektir.     </w:t>
      </w:r>
    </w:p>
    <w:p w:rsidR="007A1551" w:rsidRDefault="00761C45" w:rsidP="008A3455">
      <w:pPr>
        <w:spacing w:before="100" w:beforeAutospacing="1" w:after="100" w:afterAutospacing="1" w:line="240" w:lineRule="auto"/>
        <w:ind w:firstLine="720"/>
        <w:jc w:val="both"/>
        <w:rPr>
          <w:sz w:val="22"/>
        </w:rPr>
      </w:pPr>
      <w:r w:rsidRPr="003564ED">
        <w:rPr>
          <w:sz w:val="22"/>
        </w:rPr>
        <w:t>Derslerde bazen yoklama yapılacaktır. Y</w:t>
      </w:r>
      <w:r w:rsidR="007A1551" w:rsidRPr="003564ED">
        <w:rPr>
          <w:sz w:val="22"/>
        </w:rPr>
        <w:t>oklama kayıtları</w:t>
      </w:r>
      <w:r w:rsidRPr="003564ED">
        <w:rPr>
          <w:sz w:val="22"/>
        </w:rPr>
        <w:t>nın</w:t>
      </w:r>
      <w:r w:rsidR="007A1551" w:rsidRPr="003564ED">
        <w:rPr>
          <w:sz w:val="22"/>
        </w:rPr>
        <w:t xml:space="preserve"> özellikle </w:t>
      </w:r>
      <w:r w:rsidRPr="003564ED">
        <w:rPr>
          <w:sz w:val="22"/>
        </w:rPr>
        <w:t xml:space="preserve">sınavlarda </w:t>
      </w:r>
      <w:r w:rsidR="007A1551" w:rsidRPr="003564ED">
        <w:rPr>
          <w:sz w:val="22"/>
        </w:rPr>
        <w:t>kritik durumda olan öğrencilerin ders notlarına olumlu etkisi olacaktır.</w:t>
      </w:r>
    </w:p>
    <w:p w:rsidR="00E75BBC" w:rsidRDefault="000251C6" w:rsidP="00E75BBC">
      <w:pPr>
        <w:spacing w:before="100" w:beforeAutospacing="1" w:after="100" w:afterAutospacing="1" w:line="240" w:lineRule="auto"/>
        <w:ind w:firstLine="720"/>
        <w:jc w:val="both"/>
        <w:rPr>
          <w:sz w:val="22"/>
        </w:rPr>
      </w:pPr>
      <w:r>
        <w:rPr>
          <w:sz w:val="22"/>
        </w:rPr>
        <w:t xml:space="preserve">Akademik dürüstlüğün ayrılmaz bir parçası olarak; öğrencilerin sınavlarda kopya çekmelerinin disiplin yönetmeliği gereğince ağır sonuçları olacağını her öğrencinin bilmesi ve </w:t>
      </w:r>
      <w:r w:rsidR="00E75BBC">
        <w:rPr>
          <w:sz w:val="22"/>
        </w:rPr>
        <w:t>hatırlaması gerekir.</w:t>
      </w:r>
    </w:p>
    <w:p w:rsidR="00AC6F3B" w:rsidRDefault="00AC6F3B" w:rsidP="008A3455">
      <w:pPr>
        <w:spacing w:before="100" w:beforeAutospacing="1" w:after="100" w:afterAutospacing="1" w:line="240" w:lineRule="auto"/>
        <w:ind w:firstLine="720"/>
        <w:rPr>
          <w:rFonts w:eastAsia="Times New Roman"/>
          <w:b/>
          <w:bCs/>
          <w:szCs w:val="24"/>
        </w:rPr>
      </w:pPr>
    </w:p>
    <w:p w:rsidR="00B13BDE" w:rsidRDefault="00B13BDE" w:rsidP="008A3455">
      <w:pPr>
        <w:spacing w:before="100" w:beforeAutospacing="1" w:after="100" w:afterAutospacing="1" w:line="240" w:lineRule="auto"/>
        <w:ind w:firstLine="720"/>
        <w:rPr>
          <w:rFonts w:eastAsia="Times New Roman"/>
          <w:b/>
          <w:bCs/>
          <w:szCs w:val="24"/>
        </w:rPr>
      </w:pPr>
    </w:p>
    <w:p w:rsidR="00B13BDE" w:rsidRDefault="00B13BDE" w:rsidP="008A3455">
      <w:pPr>
        <w:spacing w:before="100" w:beforeAutospacing="1" w:after="100" w:afterAutospacing="1" w:line="240" w:lineRule="auto"/>
        <w:ind w:firstLine="720"/>
        <w:rPr>
          <w:rFonts w:eastAsia="Times New Roman"/>
          <w:b/>
          <w:bCs/>
          <w:szCs w:val="24"/>
        </w:rPr>
      </w:pPr>
    </w:p>
    <w:p w:rsidR="00B13BDE" w:rsidRDefault="00B13BDE" w:rsidP="008A3455">
      <w:pPr>
        <w:spacing w:before="100" w:beforeAutospacing="1" w:after="100" w:afterAutospacing="1" w:line="240" w:lineRule="auto"/>
        <w:ind w:firstLine="720"/>
        <w:rPr>
          <w:rFonts w:eastAsia="Times New Roman"/>
          <w:b/>
          <w:bCs/>
          <w:szCs w:val="24"/>
        </w:rPr>
      </w:pPr>
    </w:p>
    <w:p w:rsidR="00AC6F3B" w:rsidRDefault="00AC6F3B" w:rsidP="008A3455">
      <w:pPr>
        <w:spacing w:before="100" w:beforeAutospacing="1" w:after="100" w:afterAutospacing="1" w:line="240" w:lineRule="auto"/>
        <w:ind w:firstLine="720"/>
        <w:rPr>
          <w:rFonts w:eastAsia="Times New Roman"/>
          <w:b/>
          <w:bCs/>
          <w:szCs w:val="24"/>
        </w:rPr>
      </w:pPr>
    </w:p>
    <w:p w:rsidR="00AC6F3B" w:rsidRDefault="00AC6F3B" w:rsidP="008A3455">
      <w:pPr>
        <w:spacing w:before="100" w:beforeAutospacing="1" w:after="100" w:afterAutospacing="1" w:line="240" w:lineRule="auto"/>
        <w:ind w:firstLine="720"/>
        <w:rPr>
          <w:rFonts w:eastAsia="Times New Roman"/>
          <w:b/>
          <w:bCs/>
          <w:szCs w:val="24"/>
        </w:rPr>
      </w:pPr>
    </w:p>
    <w:p w:rsidR="00A3562B" w:rsidRDefault="00587D1B" w:rsidP="00E01E0F">
      <w:pPr>
        <w:spacing w:before="100" w:beforeAutospacing="1" w:after="100" w:afterAutospacing="1" w:line="240" w:lineRule="auto"/>
        <w:jc w:val="center"/>
        <w:rPr>
          <w:rFonts w:eastAsia="Times New Roman"/>
          <w:b/>
          <w:bCs/>
          <w:szCs w:val="24"/>
        </w:rPr>
      </w:pPr>
      <w:r>
        <w:rPr>
          <w:rFonts w:eastAsia="Times New Roman"/>
          <w:b/>
          <w:bCs/>
          <w:szCs w:val="24"/>
        </w:rPr>
        <w:t>2021-2022</w:t>
      </w:r>
      <w:r w:rsidR="00E01E0F" w:rsidRPr="00E01E0F">
        <w:rPr>
          <w:rFonts w:eastAsia="Times New Roman"/>
          <w:b/>
          <w:bCs/>
          <w:szCs w:val="24"/>
        </w:rPr>
        <w:t xml:space="preserve"> BAHAR DÖNEMİ </w:t>
      </w:r>
    </w:p>
    <w:p w:rsidR="00E01E0F" w:rsidRDefault="00E01E0F" w:rsidP="00E01E0F">
      <w:pPr>
        <w:spacing w:before="100" w:beforeAutospacing="1" w:after="100" w:afterAutospacing="1" w:line="240" w:lineRule="auto"/>
        <w:jc w:val="center"/>
        <w:rPr>
          <w:rFonts w:eastAsia="Times New Roman"/>
          <w:b/>
          <w:bCs/>
          <w:szCs w:val="24"/>
        </w:rPr>
      </w:pPr>
      <w:r>
        <w:rPr>
          <w:rFonts w:eastAsia="Times New Roman"/>
          <w:b/>
          <w:bCs/>
          <w:szCs w:val="24"/>
        </w:rPr>
        <w:t xml:space="preserve">HIST 192 </w:t>
      </w:r>
      <w:r w:rsidR="00A3562B">
        <w:rPr>
          <w:rFonts w:eastAsia="Times New Roman"/>
          <w:b/>
          <w:bCs/>
          <w:szCs w:val="24"/>
        </w:rPr>
        <w:t xml:space="preserve">DERS </w:t>
      </w:r>
      <w:r w:rsidRPr="00E01E0F">
        <w:rPr>
          <w:rFonts w:eastAsia="Times New Roman"/>
          <w:b/>
          <w:bCs/>
          <w:szCs w:val="24"/>
        </w:rPr>
        <w:t>PROGRAMI</w:t>
      </w:r>
    </w:p>
    <w:p w:rsidR="00587D1B" w:rsidRDefault="00587D1B" w:rsidP="00E01E0F">
      <w:pPr>
        <w:spacing w:before="100" w:beforeAutospacing="1" w:after="100" w:afterAutospacing="1" w:line="240" w:lineRule="auto"/>
        <w:jc w:val="center"/>
        <w:rPr>
          <w:rFonts w:eastAsia="Times New Roman"/>
          <w:b/>
          <w:bCs/>
          <w:szCs w:val="24"/>
        </w:rPr>
      </w:pPr>
      <w:r>
        <w:rPr>
          <w:rFonts w:eastAsia="Times New Roman"/>
          <w:b/>
          <w:bCs/>
          <w:szCs w:val="24"/>
        </w:rPr>
        <w:t>Not: Aşağıda belirtilen sayfa numaraları E.J. Zürcher’in kitabının 2019 tarihli 4. baskısı ile uyumludur. Daha eski ya da yeni baskılarda farklı sayfa numaraları söz konusu olabilir.</w:t>
      </w:r>
      <w:r w:rsidR="007A36DB">
        <w:rPr>
          <w:rFonts w:eastAsia="Times New Roman"/>
          <w:b/>
          <w:bCs/>
          <w:szCs w:val="24"/>
        </w:rPr>
        <w:t xml:space="preserve"> Ancak metinler tıpatıp aynıdır.</w:t>
      </w:r>
      <w:r>
        <w:rPr>
          <w:rFonts w:eastAsia="Times New Roman"/>
          <w:b/>
          <w:bCs/>
          <w:szCs w:val="24"/>
        </w:rPr>
        <w:t xml:space="preserve"> Bu durumda </w:t>
      </w:r>
      <w:r w:rsidR="007A36DB">
        <w:rPr>
          <w:rFonts w:eastAsia="Times New Roman"/>
          <w:b/>
          <w:bCs/>
          <w:szCs w:val="24"/>
        </w:rPr>
        <w:t>elinizdeki baskısı farklı olan eserde 4. baskı sayfa numaralarına denk düşen konuları okumakla yükümlü olacaksınız.</w:t>
      </w:r>
      <w:r>
        <w:rPr>
          <w:rFonts w:eastAsia="Times New Roman"/>
          <w:b/>
          <w:bCs/>
          <w:szCs w:val="24"/>
        </w:rPr>
        <w:t xml:space="preserve"> </w:t>
      </w:r>
    </w:p>
    <w:p w:rsidR="007A36DB" w:rsidRPr="00E01E0F" w:rsidRDefault="007A36DB" w:rsidP="00E01E0F">
      <w:pPr>
        <w:spacing w:before="100" w:beforeAutospacing="1" w:after="100" w:afterAutospacing="1" w:line="240" w:lineRule="auto"/>
        <w:jc w:val="center"/>
        <w:rPr>
          <w:rFonts w:eastAsia="Times New Roman"/>
          <w:b/>
          <w:bCs/>
          <w:szCs w:val="24"/>
        </w:rPr>
      </w:pPr>
      <w:bookmarkStart w:id="0" w:name="_GoBack"/>
      <w:bookmarkEnd w:id="0"/>
    </w:p>
    <w:p w:rsidR="00047C85" w:rsidRPr="00C00CE5" w:rsidRDefault="00047C85" w:rsidP="00047C85">
      <w:pPr>
        <w:spacing w:before="100" w:beforeAutospacing="1" w:after="100" w:afterAutospacing="1" w:line="240" w:lineRule="auto"/>
        <w:jc w:val="center"/>
        <w:rPr>
          <w:rFonts w:eastAsia="Times New Roman"/>
          <w:szCs w:val="24"/>
          <w:u w:val="single"/>
        </w:rPr>
      </w:pPr>
      <w:r w:rsidRPr="00C00CE5">
        <w:rPr>
          <w:rFonts w:eastAsia="Times New Roman"/>
          <w:b/>
          <w:bCs/>
          <w:szCs w:val="24"/>
          <w:u w:val="single"/>
        </w:rPr>
        <w:t>BİRİNCİ HAFTA</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JÖN TÜRK DEVRİMİ VE II. MEŞRUTİYET</w:t>
      </w:r>
    </w:p>
    <w:p w:rsidR="00047C85" w:rsidRPr="00C00CE5" w:rsidRDefault="006A54AB" w:rsidP="00047C85">
      <w:pPr>
        <w:spacing w:before="100" w:beforeAutospacing="1" w:after="100" w:afterAutospacing="1" w:line="240" w:lineRule="auto"/>
        <w:jc w:val="center"/>
        <w:rPr>
          <w:rFonts w:eastAsia="Times New Roman"/>
          <w:b/>
          <w:bCs/>
          <w:szCs w:val="24"/>
        </w:rPr>
      </w:pPr>
      <w:r w:rsidRPr="00C00CE5">
        <w:rPr>
          <w:rFonts w:eastAsia="Times New Roman"/>
          <w:b/>
          <w:bCs/>
          <w:szCs w:val="24"/>
        </w:rPr>
        <w:t>Okuma</w:t>
      </w:r>
      <w:r w:rsidR="000D1564">
        <w:rPr>
          <w:rFonts w:eastAsia="Times New Roman"/>
          <w:b/>
          <w:bCs/>
          <w:szCs w:val="24"/>
        </w:rPr>
        <w:t>: Zürcher (s. 119-13</w:t>
      </w:r>
      <w:r w:rsidR="00047C85" w:rsidRPr="00C00CE5">
        <w:rPr>
          <w:rFonts w:eastAsia="Times New Roman"/>
          <w:b/>
          <w:bCs/>
          <w:szCs w:val="24"/>
        </w:rPr>
        <w:t>7)</w:t>
      </w:r>
      <w:r w:rsidR="00B13BDE">
        <w:rPr>
          <w:rFonts w:eastAsia="Times New Roman"/>
          <w:b/>
          <w:bCs/>
          <w:szCs w:val="24"/>
        </w:rPr>
        <w:t xml:space="preserve"> (“1908 Meşrutiyet Devrimi” başlığından </w:t>
      </w:r>
      <w:r w:rsidR="00B13BDE">
        <w:rPr>
          <w:rFonts w:eastAsia="Times New Roman"/>
          <w:b/>
          <w:bCs/>
          <w:szCs w:val="24"/>
        </w:rPr>
        <w:t>“İttihatçı İktidarının Pekişmesi”</w:t>
      </w:r>
      <w:r w:rsidR="00B13BDE">
        <w:rPr>
          <w:rFonts w:eastAsia="Times New Roman"/>
          <w:b/>
          <w:bCs/>
          <w:szCs w:val="24"/>
        </w:rPr>
        <w:t xml:space="preserve"> başlıklı kısmın sonuna kadar)</w:t>
      </w:r>
    </w:p>
    <w:p w:rsidR="00047C85" w:rsidRPr="00C00CE5" w:rsidRDefault="00047C85" w:rsidP="00047C85">
      <w:pPr>
        <w:spacing w:before="100" w:beforeAutospacing="1" w:after="100" w:afterAutospacing="1" w:line="240" w:lineRule="auto"/>
        <w:jc w:val="center"/>
        <w:outlineLvl w:val="0"/>
        <w:rPr>
          <w:rFonts w:eastAsia="Times New Roman"/>
          <w:b/>
          <w:bCs/>
          <w:kern w:val="36"/>
          <w:szCs w:val="24"/>
          <w:u w:val="single"/>
        </w:rPr>
      </w:pPr>
      <w:r w:rsidRPr="00C00CE5">
        <w:rPr>
          <w:rFonts w:eastAsia="Times New Roman"/>
          <w:b/>
          <w:bCs/>
          <w:kern w:val="36"/>
          <w:szCs w:val="24"/>
          <w:u w:val="single"/>
        </w:rPr>
        <w:t>İKİNCİ HAFTA</w:t>
      </w:r>
    </w:p>
    <w:p w:rsidR="003564ED" w:rsidRDefault="00047C85" w:rsidP="00047C85">
      <w:pPr>
        <w:spacing w:before="100" w:beforeAutospacing="1" w:after="100" w:afterAutospacing="1" w:line="240" w:lineRule="auto"/>
        <w:jc w:val="center"/>
        <w:rPr>
          <w:rFonts w:eastAsia="Times New Roman"/>
          <w:b/>
          <w:bCs/>
          <w:szCs w:val="24"/>
        </w:rPr>
      </w:pPr>
      <w:r w:rsidRPr="00C00CE5">
        <w:rPr>
          <w:rFonts w:eastAsia="Times New Roman"/>
          <w:b/>
          <w:bCs/>
          <w:szCs w:val="24"/>
        </w:rPr>
        <w:t>İTTİHAT VE TERAKKİ İKTİDARI DÖNEMİ</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1908-1914</w:t>
      </w:r>
    </w:p>
    <w:p w:rsidR="000A42EB" w:rsidRPr="00C00CE5" w:rsidRDefault="006A54AB" w:rsidP="000A42EB">
      <w:pPr>
        <w:spacing w:before="100" w:beforeAutospacing="1" w:after="100" w:afterAutospacing="1" w:line="240" w:lineRule="auto"/>
        <w:jc w:val="center"/>
        <w:rPr>
          <w:rFonts w:eastAsia="Times New Roman"/>
          <w:b/>
          <w:bCs/>
          <w:szCs w:val="24"/>
        </w:rPr>
      </w:pPr>
      <w:r w:rsidRPr="00C00CE5">
        <w:rPr>
          <w:rFonts w:eastAsia="Times New Roman"/>
          <w:b/>
          <w:bCs/>
          <w:szCs w:val="24"/>
        </w:rPr>
        <w:t>Okuma</w:t>
      </w:r>
      <w:r w:rsidR="008E562E">
        <w:rPr>
          <w:rFonts w:eastAsia="Times New Roman"/>
          <w:b/>
          <w:bCs/>
          <w:szCs w:val="24"/>
        </w:rPr>
        <w:t>: Zürcher (s. 119-13</w:t>
      </w:r>
      <w:r w:rsidR="000A42EB" w:rsidRPr="00C00CE5">
        <w:rPr>
          <w:rFonts w:eastAsia="Times New Roman"/>
          <w:b/>
          <w:bCs/>
          <w:szCs w:val="24"/>
        </w:rPr>
        <w:t>7)</w:t>
      </w:r>
      <w:r w:rsidR="00B13BDE">
        <w:rPr>
          <w:rFonts w:eastAsia="Times New Roman"/>
          <w:b/>
          <w:bCs/>
          <w:szCs w:val="24"/>
        </w:rPr>
        <w:t xml:space="preserve"> </w:t>
      </w:r>
      <w:r w:rsidR="00B13BDE">
        <w:rPr>
          <w:rFonts w:eastAsia="Times New Roman"/>
          <w:b/>
          <w:bCs/>
          <w:szCs w:val="24"/>
        </w:rPr>
        <w:t>(“1908 Meşrutiyet Devrimi” başlığından “İttihatçı İktidarının Pekişmesi” başlıklı kısmın sonuna kadar)</w:t>
      </w:r>
    </w:p>
    <w:p w:rsidR="00047C85" w:rsidRPr="00C00CE5" w:rsidRDefault="00047C85" w:rsidP="00047C85">
      <w:pPr>
        <w:spacing w:before="100" w:beforeAutospacing="1" w:after="100" w:afterAutospacing="1" w:line="240" w:lineRule="auto"/>
        <w:jc w:val="center"/>
        <w:rPr>
          <w:rFonts w:eastAsia="Times New Roman"/>
          <w:szCs w:val="24"/>
          <w:u w:val="single"/>
        </w:rPr>
      </w:pPr>
      <w:r w:rsidRPr="00C00CE5">
        <w:rPr>
          <w:rFonts w:eastAsia="Times New Roman"/>
          <w:b/>
          <w:bCs/>
          <w:szCs w:val="24"/>
          <w:u w:val="single"/>
        </w:rPr>
        <w:t>ÜÇÜNCÜ HAFTA</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BİRİNCİ DÜNYA SAVAŞI VE OSMANLI CEPHELERİ</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1914-1918</w:t>
      </w:r>
    </w:p>
    <w:p w:rsidR="00445AAD" w:rsidRPr="00C00CE5" w:rsidRDefault="006A54AB" w:rsidP="00047C85">
      <w:pPr>
        <w:spacing w:before="100" w:beforeAutospacing="1" w:after="100" w:afterAutospacing="1" w:line="240" w:lineRule="auto"/>
        <w:jc w:val="center"/>
        <w:rPr>
          <w:rFonts w:eastAsia="Times New Roman"/>
          <w:b/>
          <w:bCs/>
          <w:szCs w:val="24"/>
        </w:rPr>
      </w:pPr>
      <w:r w:rsidRPr="00C00CE5">
        <w:rPr>
          <w:rFonts w:eastAsia="Times New Roman"/>
          <w:b/>
          <w:bCs/>
          <w:szCs w:val="24"/>
        </w:rPr>
        <w:t>Okuma</w:t>
      </w:r>
      <w:r w:rsidR="008E562E">
        <w:rPr>
          <w:rFonts w:eastAsia="Times New Roman"/>
          <w:b/>
          <w:bCs/>
          <w:szCs w:val="24"/>
        </w:rPr>
        <w:t>: Zürcher (s. 137-162</w:t>
      </w:r>
      <w:r w:rsidR="00047C85" w:rsidRPr="00C00CE5">
        <w:rPr>
          <w:rFonts w:eastAsia="Times New Roman"/>
          <w:b/>
          <w:bCs/>
          <w:szCs w:val="24"/>
        </w:rPr>
        <w:t xml:space="preserve">) </w:t>
      </w:r>
      <w:r w:rsidR="00B13BDE">
        <w:rPr>
          <w:rFonts w:eastAsia="Times New Roman"/>
          <w:b/>
          <w:bCs/>
          <w:szCs w:val="24"/>
        </w:rPr>
        <w:t xml:space="preserve">(“Osmanlı İmparatorluğu’nun Birinci Dünya Savaşı’na Girişi” başlığından “İdeolojik Tartışmalar” </w:t>
      </w:r>
      <w:r w:rsidR="00B13BDE">
        <w:rPr>
          <w:rFonts w:eastAsia="Times New Roman"/>
          <w:b/>
          <w:bCs/>
          <w:szCs w:val="24"/>
        </w:rPr>
        <w:t>başlıklı kısmın sonuna kadar</w:t>
      </w:r>
      <w:r w:rsidR="00B13BDE">
        <w:rPr>
          <w:rFonts w:eastAsia="Times New Roman"/>
          <w:b/>
          <w:bCs/>
          <w:szCs w:val="24"/>
        </w:rPr>
        <w:t>)</w:t>
      </w:r>
    </w:p>
    <w:p w:rsidR="00047C85" w:rsidRPr="00C00CE5" w:rsidRDefault="00047C85" w:rsidP="00047C85">
      <w:pPr>
        <w:spacing w:before="100" w:beforeAutospacing="1" w:after="100" w:afterAutospacing="1" w:line="240" w:lineRule="auto"/>
        <w:jc w:val="center"/>
        <w:rPr>
          <w:rFonts w:eastAsia="Times New Roman"/>
          <w:szCs w:val="24"/>
          <w:u w:val="single"/>
        </w:rPr>
      </w:pPr>
      <w:r w:rsidRPr="00C00CE5">
        <w:rPr>
          <w:rFonts w:eastAsia="Times New Roman"/>
          <w:b/>
          <w:bCs/>
          <w:szCs w:val="24"/>
          <w:u w:val="single"/>
        </w:rPr>
        <w:t>DÖRDÜNCÜ HAFTA</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MİLLİ MÜCADELE DÖNEMİ</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1918-1922</w:t>
      </w:r>
    </w:p>
    <w:p w:rsidR="00047C85" w:rsidRPr="00C00CE5" w:rsidRDefault="008E562E" w:rsidP="00047C85">
      <w:pPr>
        <w:spacing w:before="100" w:beforeAutospacing="1" w:after="100" w:afterAutospacing="1" w:line="240" w:lineRule="auto"/>
        <w:jc w:val="center"/>
        <w:rPr>
          <w:rFonts w:eastAsia="Times New Roman"/>
          <w:szCs w:val="24"/>
        </w:rPr>
      </w:pPr>
      <w:r>
        <w:rPr>
          <w:rFonts w:eastAsia="Times New Roman"/>
          <w:b/>
          <w:bCs/>
          <w:szCs w:val="24"/>
        </w:rPr>
        <w:t>Okumalar: Zürcher (s. 163</w:t>
      </w:r>
      <w:r w:rsidR="00AD16A6">
        <w:rPr>
          <w:rFonts w:eastAsia="Times New Roman"/>
          <w:b/>
          <w:bCs/>
          <w:szCs w:val="24"/>
        </w:rPr>
        <w:t>-197</w:t>
      </w:r>
      <w:r w:rsidR="000A42EB" w:rsidRPr="00C00CE5">
        <w:rPr>
          <w:rFonts w:eastAsia="Times New Roman"/>
          <w:b/>
          <w:bCs/>
          <w:szCs w:val="24"/>
        </w:rPr>
        <w:t>)</w:t>
      </w:r>
      <w:r w:rsidR="00047C85" w:rsidRPr="00C00CE5">
        <w:rPr>
          <w:rFonts w:eastAsia="Times New Roman"/>
          <w:b/>
          <w:bCs/>
          <w:szCs w:val="24"/>
        </w:rPr>
        <w:t xml:space="preserve"> </w:t>
      </w:r>
      <w:r w:rsidR="00B13BDE">
        <w:rPr>
          <w:rFonts w:eastAsia="Times New Roman"/>
          <w:b/>
          <w:bCs/>
          <w:szCs w:val="24"/>
        </w:rPr>
        <w:t xml:space="preserve">(“Mondros Mütarekesi” başlığından “1923 Yılında Türkiye” </w:t>
      </w:r>
      <w:r w:rsidR="00B13BDE">
        <w:rPr>
          <w:rFonts w:eastAsia="Times New Roman"/>
          <w:b/>
          <w:bCs/>
          <w:szCs w:val="24"/>
        </w:rPr>
        <w:t>başlıklı kısmın sonuna kadar</w:t>
      </w:r>
      <w:r w:rsidR="00B13BDE">
        <w:rPr>
          <w:rFonts w:eastAsia="Times New Roman"/>
          <w:b/>
          <w:bCs/>
          <w:szCs w:val="24"/>
        </w:rPr>
        <w:t xml:space="preserve">);  </w:t>
      </w:r>
      <w:r w:rsidR="00047C85" w:rsidRPr="00C00CE5">
        <w:rPr>
          <w:rFonts w:eastAsia="Times New Roman"/>
          <w:b/>
          <w:bCs/>
          <w:szCs w:val="24"/>
        </w:rPr>
        <w:t xml:space="preserve">Nutuk </w:t>
      </w:r>
    </w:p>
    <w:p w:rsidR="00047C85" w:rsidRPr="00C00CE5" w:rsidRDefault="00047C85" w:rsidP="00047C85">
      <w:pPr>
        <w:spacing w:before="100" w:beforeAutospacing="1" w:after="100" w:afterAutospacing="1" w:line="240" w:lineRule="auto"/>
        <w:jc w:val="center"/>
        <w:rPr>
          <w:rFonts w:eastAsia="Times New Roman"/>
          <w:szCs w:val="24"/>
          <w:u w:val="single"/>
        </w:rPr>
      </w:pPr>
      <w:r w:rsidRPr="00C00CE5">
        <w:rPr>
          <w:rFonts w:eastAsia="Times New Roman"/>
          <w:b/>
          <w:bCs/>
          <w:szCs w:val="24"/>
          <w:u w:val="single"/>
        </w:rPr>
        <w:t>BEŞİNCİ HAFTA</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MİLLİ MÜCADELE DÖNEMİ</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1918-1922</w:t>
      </w:r>
    </w:p>
    <w:p w:rsidR="00047C85" w:rsidRPr="00C00CE5" w:rsidRDefault="00AD16A6" w:rsidP="00047C85">
      <w:pPr>
        <w:spacing w:before="100" w:beforeAutospacing="1" w:after="100" w:afterAutospacing="1" w:line="240" w:lineRule="auto"/>
        <w:jc w:val="center"/>
        <w:rPr>
          <w:rFonts w:eastAsia="Times New Roman"/>
          <w:szCs w:val="24"/>
        </w:rPr>
      </w:pPr>
      <w:r>
        <w:rPr>
          <w:rFonts w:eastAsia="Times New Roman"/>
          <w:b/>
          <w:bCs/>
          <w:szCs w:val="24"/>
        </w:rPr>
        <w:t>Okumalar: Zürcher (s. 163-197</w:t>
      </w:r>
      <w:r w:rsidR="001C32D6">
        <w:rPr>
          <w:rFonts w:eastAsia="Times New Roman"/>
          <w:b/>
          <w:bCs/>
          <w:szCs w:val="24"/>
        </w:rPr>
        <w:t xml:space="preserve">) </w:t>
      </w:r>
      <w:r w:rsidR="001C32D6">
        <w:rPr>
          <w:rFonts w:eastAsia="Times New Roman"/>
          <w:b/>
          <w:bCs/>
          <w:szCs w:val="24"/>
        </w:rPr>
        <w:t xml:space="preserve">(“Mondros Mütarekesi” başlığından “1923 Yılında Türkiye” başlıklı kısmın sonuna kadar);  </w:t>
      </w:r>
      <w:r w:rsidR="00047C85" w:rsidRPr="00C00CE5">
        <w:rPr>
          <w:rFonts w:eastAsia="Times New Roman"/>
          <w:b/>
          <w:bCs/>
          <w:szCs w:val="24"/>
        </w:rPr>
        <w:t xml:space="preserve"> Nutuk </w:t>
      </w:r>
    </w:p>
    <w:p w:rsidR="00047C85" w:rsidRPr="00C00CE5" w:rsidRDefault="00047C85" w:rsidP="00047C85">
      <w:pPr>
        <w:spacing w:before="100" w:beforeAutospacing="1" w:after="100" w:afterAutospacing="1" w:line="240" w:lineRule="auto"/>
        <w:jc w:val="center"/>
        <w:rPr>
          <w:rFonts w:eastAsia="Times New Roman"/>
          <w:szCs w:val="24"/>
          <w:u w:val="single"/>
        </w:rPr>
      </w:pPr>
      <w:r w:rsidRPr="00C00CE5">
        <w:rPr>
          <w:rFonts w:eastAsia="Times New Roman"/>
          <w:b/>
          <w:bCs/>
          <w:szCs w:val="24"/>
          <w:u w:val="single"/>
        </w:rPr>
        <w:t>ALTINCI HAFTA</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ERKEN CUMHURİYET</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1923-1938</w:t>
      </w:r>
    </w:p>
    <w:p w:rsidR="00047C85" w:rsidRPr="00C00CE5" w:rsidRDefault="000A42EB" w:rsidP="00047C85">
      <w:pPr>
        <w:spacing w:before="100" w:beforeAutospacing="1" w:after="100" w:afterAutospacing="1" w:line="240" w:lineRule="auto"/>
        <w:jc w:val="center"/>
        <w:rPr>
          <w:rFonts w:eastAsia="Times New Roman"/>
          <w:szCs w:val="24"/>
        </w:rPr>
      </w:pPr>
      <w:r w:rsidRPr="00C00CE5">
        <w:rPr>
          <w:rFonts w:eastAsia="Times New Roman"/>
          <w:b/>
          <w:bCs/>
          <w:szCs w:val="24"/>
        </w:rPr>
        <w:t xml:space="preserve">Okumalar: </w:t>
      </w:r>
      <w:r w:rsidR="00AD16A6">
        <w:rPr>
          <w:rFonts w:eastAsia="Times New Roman"/>
          <w:b/>
          <w:bCs/>
          <w:szCs w:val="24"/>
        </w:rPr>
        <w:t>Zürcher (s. 199-208</w:t>
      </w:r>
      <w:r w:rsidRPr="00C00CE5">
        <w:rPr>
          <w:rFonts w:eastAsia="Times New Roman"/>
          <w:b/>
          <w:bCs/>
          <w:szCs w:val="24"/>
        </w:rPr>
        <w:t xml:space="preserve">) </w:t>
      </w:r>
      <w:r w:rsidR="001C32D6">
        <w:rPr>
          <w:rFonts w:eastAsia="Times New Roman"/>
          <w:b/>
          <w:bCs/>
          <w:szCs w:val="24"/>
        </w:rPr>
        <w:t xml:space="preserve">(“Cumhuriyet ve Hilafet” başlığından “Bir Dönemin Sonu: Nutuk” </w:t>
      </w:r>
      <w:r w:rsidR="001C32D6">
        <w:rPr>
          <w:rFonts w:eastAsia="Times New Roman"/>
          <w:b/>
          <w:bCs/>
          <w:szCs w:val="24"/>
        </w:rPr>
        <w:t>başlıklı kısmın sonuna kadar</w:t>
      </w:r>
      <w:r w:rsidR="001C32D6">
        <w:rPr>
          <w:rFonts w:eastAsia="Times New Roman"/>
          <w:b/>
          <w:bCs/>
          <w:szCs w:val="24"/>
        </w:rPr>
        <w:t>);</w:t>
      </w:r>
      <w:r w:rsidR="00047C85" w:rsidRPr="00C00CE5">
        <w:rPr>
          <w:rFonts w:eastAsia="Times New Roman"/>
          <w:b/>
          <w:bCs/>
          <w:szCs w:val="24"/>
        </w:rPr>
        <w:t xml:space="preserve"> Nutuk </w:t>
      </w:r>
    </w:p>
    <w:p w:rsidR="00047C85" w:rsidRPr="00C00CE5" w:rsidRDefault="00047C85" w:rsidP="00047C85">
      <w:pPr>
        <w:spacing w:before="100" w:beforeAutospacing="1" w:after="100" w:afterAutospacing="1" w:line="240" w:lineRule="auto"/>
        <w:jc w:val="center"/>
        <w:rPr>
          <w:rFonts w:eastAsia="Times New Roman"/>
          <w:szCs w:val="24"/>
          <w:u w:val="single"/>
        </w:rPr>
      </w:pPr>
      <w:r w:rsidRPr="00C00CE5">
        <w:rPr>
          <w:rFonts w:eastAsia="Times New Roman"/>
          <w:b/>
          <w:bCs/>
          <w:szCs w:val="24"/>
          <w:u w:val="single"/>
        </w:rPr>
        <w:t>YEDİNCİ HAFTA</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ERKEN CUMHURİYET</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1923-1938</w:t>
      </w:r>
    </w:p>
    <w:p w:rsidR="00047C85" w:rsidRPr="00C00CE5" w:rsidRDefault="00AD16A6" w:rsidP="00047C85">
      <w:pPr>
        <w:spacing w:before="100" w:beforeAutospacing="1" w:after="100" w:afterAutospacing="1" w:line="240" w:lineRule="auto"/>
        <w:jc w:val="center"/>
        <w:rPr>
          <w:rFonts w:eastAsia="Times New Roman"/>
          <w:szCs w:val="24"/>
        </w:rPr>
      </w:pPr>
      <w:r>
        <w:rPr>
          <w:rFonts w:eastAsia="Times New Roman"/>
          <w:b/>
          <w:bCs/>
          <w:szCs w:val="24"/>
        </w:rPr>
        <w:t>Okumalar: Zürcher (s. 209-2</w:t>
      </w:r>
      <w:r w:rsidR="00376999">
        <w:rPr>
          <w:rFonts w:eastAsia="Times New Roman"/>
          <w:b/>
          <w:bCs/>
          <w:szCs w:val="24"/>
        </w:rPr>
        <w:t>15</w:t>
      </w:r>
      <w:r w:rsidR="00047C85" w:rsidRPr="00C00CE5">
        <w:rPr>
          <w:rFonts w:eastAsia="Times New Roman"/>
          <w:b/>
          <w:bCs/>
          <w:szCs w:val="24"/>
        </w:rPr>
        <w:t>)</w:t>
      </w:r>
      <w:r w:rsidR="001C32D6">
        <w:rPr>
          <w:rFonts w:eastAsia="Times New Roman"/>
          <w:b/>
          <w:bCs/>
          <w:szCs w:val="24"/>
        </w:rPr>
        <w:t xml:space="preserve"> (“Kemalist Türkiye’nin Siyasal Sistemi: Parti ve Devlet” başlığından “Cumhuriyet Halk Fırkası’nın Totaliter Eğilimleri” </w:t>
      </w:r>
      <w:r w:rsidR="001C32D6">
        <w:rPr>
          <w:rFonts w:eastAsia="Times New Roman"/>
          <w:b/>
          <w:bCs/>
          <w:szCs w:val="24"/>
        </w:rPr>
        <w:t>başlıklı kısmın sonuna kadar</w:t>
      </w:r>
      <w:r w:rsidR="001C32D6">
        <w:rPr>
          <w:rFonts w:eastAsia="Times New Roman"/>
          <w:b/>
          <w:bCs/>
          <w:szCs w:val="24"/>
        </w:rPr>
        <w:t>);</w:t>
      </w:r>
      <w:r w:rsidR="00047C85" w:rsidRPr="00C00CE5">
        <w:rPr>
          <w:rFonts w:eastAsia="Times New Roman"/>
          <w:b/>
          <w:bCs/>
          <w:szCs w:val="24"/>
        </w:rPr>
        <w:t xml:space="preserve"> Nutuk </w:t>
      </w:r>
    </w:p>
    <w:p w:rsidR="00047C85" w:rsidRPr="00C00CE5" w:rsidRDefault="00047C85" w:rsidP="00047C85">
      <w:pPr>
        <w:spacing w:before="100" w:beforeAutospacing="1" w:after="100" w:afterAutospacing="1" w:line="240" w:lineRule="auto"/>
        <w:jc w:val="center"/>
        <w:rPr>
          <w:rFonts w:eastAsia="Times New Roman"/>
          <w:szCs w:val="24"/>
          <w:u w:val="single"/>
        </w:rPr>
      </w:pPr>
      <w:r w:rsidRPr="00C00CE5">
        <w:rPr>
          <w:rFonts w:eastAsia="Times New Roman"/>
          <w:b/>
          <w:bCs/>
          <w:szCs w:val="24"/>
          <w:u w:val="single"/>
        </w:rPr>
        <w:t>SEKİZİNCİ HAFTA</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ERKEN CUMHURİYET</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1923-1938</w:t>
      </w:r>
    </w:p>
    <w:p w:rsidR="00047C85" w:rsidRPr="00C00CE5" w:rsidRDefault="006A54AB" w:rsidP="00047C85">
      <w:pPr>
        <w:spacing w:before="100" w:beforeAutospacing="1" w:after="100" w:afterAutospacing="1" w:line="240" w:lineRule="auto"/>
        <w:jc w:val="center"/>
        <w:rPr>
          <w:rFonts w:eastAsia="Times New Roman"/>
          <w:szCs w:val="24"/>
        </w:rPr>
      </w:pPr>
      <w:r w:rsidRPr="00C00CE5">
        <w:rPr>
          <w:rFonts w:eastAsia="Times New Roman"/>
          <w:b/>
          <w:bCs/>
          <w:szCs w:val="24"/>
        </w:rPr>
        <w:t>Okumalar</w:t>
      </w:r>
      <w:r w:rsidR="00047C85" w:rsidRPr="00C00CE5">
        <w:rPr>
          <w:rFonts w:eastAsia="Times New Roman"/>
          <w:b/>
          <w:bCs/>
          <w:szCs w:val="24"/>
        </w:rPr>
        <w:t xml:space="preserve">: </w:t>
      </w:r>
      <w:r w:rsidR="00AD16A6">
        <w:rPr>
          <w:rFonts w:eastAsia="Times New Roman"/>
          <w:b/>
          <w:bCs/>
          <w:szCs w:val="24"/>
        </w:rPr>
        <w:t xml:space="preserve">Zürcher (s. </w:t>
      </w:r>
      <w:r w:rsidR="00376999">
        <w:rPr>
          <w:rFonts w:eastAsia="Times New Roman"/>
          <w:b/>
          <w:bCs/>
          <w:szCs w:val="24"/>
        </w:rPr>
        <w:t>215</w:t>
      </w:r>
      <w:r w:rsidR="00AD16A6">
        <w:rPr>
          <w:rFonts w:eastAsia="Times New Roman"/>
          <w:b/>
          <w:bCs/>
          <w:szCs w:val="24"/>
        </w:rPr>
        <w:t>-2</w:t>
      </w:r>
      <w:r w:rsidR="00D66E64">
        <w:rPr>
          <w:rFonts w:eastAsia="Times New Roman"/>
          <w:b/>
          <w:bCs/>
          <w:szCs w:val="24"/>
        </w:rPr>
        <w:t>40</w:t>
      </w:r>
      <w:r w:rsidRPr="00C00CE5">
        <w:rPr>
          <w:rFonts w:eastAsia="Times New Roman"/>
          <w:b/>
          <w:bCs/>
          <w:szCs w:val="24"/>
        </w:rPr>
        <w:t xml:space="preserve">) </w:t>
      </w:r>
      <w:r w:rsidR="007D3E86">
        <w:rPr>
          <w:rFonts w:eastAsia="Times New Roman"/>
          <w:b/>
          <w:bCs/>
          <w:szCs w:val="24"/>
        </w:rPr>
        <w:t xml:space="preserve">(“Kemalist Bildiri” başlığından “İkinci Dünya Savaşı ve Türkiye” </w:t>
      </w:r>
      <w:r w:rsidR="007D3E86">
        <w:rPr>
          <w:rFonts w:eastAsia="Times New Roman"/>
          <w:b/>
          <w:bCs/>
          <w:szCs w:val="24"/>
        </w:rPr>
        <w:t>başlıklı kısmın sonuna kadar</w:t>
      </w:r>
      <w:r w:rsidR="007D3E86">
        <w:rPr>
          <w:rFonts w:eastAsia="Times New Roman"/>
          <w:b/>
          <w:bCs/>
          <w:szCs w:val="24"/>
        </w:rPr>
        <w:t>);</w:t>
      </w:r>
      <w:r w:rsidRPr="00C00CE5">
        <w:rPr>
          <w:rFonts w:eastAsia="Times New Roman"/>
          <w:b/>
          <w:bCs/>
          <w:szCs w:val="24"/>
        </w:rPr>
        <w:t xml:space="preserve"> </w:t>
      </w:r>
      <w:r w:rsidR="00047C85" w:rsidRPr="00C00CE5">
        <w:rPr>
          <w:rFonts w:eastAsia="Times New Roman"/>
          <w:b/>
          <w:bCs/>
          <w:szCs w:val="24"/>
        </w:rPr>
        <w:t xml:space="preserve">Nutuk </w:t>
      </w:r>
    </w:p>
    <w:p w:rsidR="00047C85" w:rsidRPr="00C00CE5" w:rsidRDefault="00047C85" w:rsidP="00047C85">
      <w:pPr>
        <w:spacing w:before="100" w:beforeAutospacing="1" w:after="100" w:afterAutospacing="1" w:line="240" w:lineRule="auto"/>
        <w:jc w:val="center"/>
        <w:rPr>
          <w:rFonts w:eastAsia="Times New Roman"/>
          <w:szCs w:val="24"/>
          <w:u w:val="single"/>
        </w:rPr>
      </w:pPr>
      <w:r w:rsidRPr="00C00CE5">
        <w:rPr>
          <w:rFonts w:eastAsia="Times New Roman"/>
          <w:b/>
          <w:bCs/>
          <w:szCs w:val="24"/>
          <w:u w:val="single"/>
        </w:rPr>
        <w:t>DOKUZUNCU HAFTA</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MİLLİ ŞEFLİK DÖNEMİ</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1938-1945</w:t>
      </w:r>
    </w:p>
    <w:p w:rsidR="00047C85" w:rsidRPr="00C00CE5" w:rsidRDefault="006A54AB" w:rsidP="00047C85">
      <w:pPr>
        <w:spacing w:before="100" w:beforeAutospacing="1" w:after="100" w:afterAutospacing="1" w:line="240" w:lineRule="auto"/>
        <w:jc w:val="center"/>
        <w:rPr>
          <w:rFonts w:eastAsia="Times New Roman"/>
          <w:szCs w:val="24"/>
        </w:rPr>
      </w:pPr>
      <w:r w:rsidRPr="00C00CE5">
        <w:rPr>
          <w:rFonts w:eastAsia="Times New Roman"/>
          <w:b/>
          <w:bCs/>
          <w:szCs w:val="24"/>
        </w:rPr>
        <w:t>Okuma</w:t>
      </w:r>
      <w:r w:rsidR="00047C85" w:rsidRPr="00C00CE5">
        <w:rPr>
          <w:rFonts w:eastAsia="Times New Roman"/>
          <w:b/>
          <w:bCs/>
          <w:szCs w:val="24"/>
        </w:rPr>
        <w:t xml:space="preserve">: Zürcher (s. </w:t>
      </w:r>
      <w:r w:rsidR="00D66E64">
        <w:rPr>
          <w:rFonts w:eastAsia="Times New Roman"/>
          <w:b/>
          <w:bCs/>
          <w:szCs w:val="24"/>
        </w:rPr>
        <w:t>215</w:t>
      </w:r>
      <w:r w:rsidR="00AD16A6">
        <w:rPr>
          <w:rFonts w:eastAsia="Times New Roman"/>
          <w:b/>
          <w:bCs/>
          <w:szCs w:val="24"/>
        </w:rPr>
        <w:t>-240</w:t>
      </w:r>
      <w:r w:rsidR="000A42EB" w:rsidRPr="00C00CE5">
        <w:rPr>
          <w:rFonts w:eastAsia="Times New Roman"/>
          <w:b/>
          <w:bCs/>
          <w:szCs w:val="24"/>
        </w:rPr>
        <w:t>)</w:t>
      </w:r>
      <w:r w:rsidR="00C853B1">
        <w:rPr>
          <w:rFonts w:eastAsia="Times New Roman"/>
          <w:b/>
          <w:bCs/>
          <w:szCs w:val="24"/>
        </w:rPr>
        <w:t xml:space="preserve"> </w:t>
      </w:r>
      <w:r w:rsidR="00C853B1">
        <w:rPr>
          <w:rFonts w:eastAsia="Times New Roman"/>
          <w:b/>
          <w:bCs/>
          <w:szCs w:val="24"/>
        </w:rPr>
        <w:t>(“Kemalist Bildiri” başlığından “İkinci Dünya Savaşı ve Türkiye” başlıklı kısmın sonuna kadar)</w:t>
      </w:r>
    </w:p>
    <w:p w:rsidR="00047C85" w:rsidRPr="00C00CE5" w:rsidRDefault="00047C85" w:rsidP="00047C85">
      <w:pPr>
        <w:spacing w:before="100" w:beforeAutospacing="1" w:after="100" w:afterAutospacing="1" w:line="240" w:lineRule="auto"/>
        <w:jc w:val="center"/>
        <w:rPr>
          <w:rFonts w:eastAsia="Times New Roman"/>
          <w:szCs w:val="24"/>
          <w:u w:val="single"/>
        </w:rPr>
      </w:pPr>
      <w:r w:rsidRPr="00C00CE5">
        <w:rPr>
          <w:rFonts w:eastAsia="Times New Roman"/>
          <w:b/>
          <w:bCs/>
          <w:szCs w:val="24"/>
          <w:u w:val="single"/>
        </w:rPr>
        <w:t>ONUNCU HAFTA</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PARTİLER REJİMİNE GEÇİŞ</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 xml:space="preserve">1945-1950 </w:t>
      </w:r>
    </w:p>
    <w:p w:rsidR="00047C85" w:rsidRPr="00C00CE5" w:rsidRDefault="006A54AB" w:rsidP="00047C85">
      <w:pPr>
        <w:spacing w:before="100" w:beforeAutospacing="1" w:after="100" w:afterAutospacing="1" w:line="240" w:lineRule="auto"/>
        <w:jc w:val="center"/>
        <w:rPr>
          <w:rFonts w:eastAsia="Times New Roman"/>
          <w:szCs w:val="24"/>
        </w:rPr>
      </w:pPr>
      <w:r w:rsidRPr="00C00CE5">
        <w:rPr>
          <w:rFonts w:eastAsia="Times New Roman"/>
          <w:b/>
          <w:bCs/>
          <w:szCs w:val="24"/>
        </w:rPr>
        <w:t>Okuma</w:t>
      </w:r>
      <w:r w:rsidR="00AD16A6">
        <w:rPr>
          <w:rFonts w:eastAsia="Times New Roman"/>
          <w:b/>
          <w:bCs/>
          <w:szCs w:val="24"/>
        </w:rPr>
        <w:t>: Zürcher (s. 241-253</w:t>
      </w:r>
      <w:r w:rsidR="00047C85" w:rsidRPr="00C00CE5">
        <w:rPr>
          <w:rFonts w:eastAsia="Times New Roman"/>
          <w:b/>
          <w:bCs/>
          <w:szCs w:val="24"/>
        </w:rPr>
        <w:t xml:space="preserve">) </w:t>
      </w:r>
      <w:r w:rsidR="00C853B1">
        <w:rPr>
          <w:rFonts w:eastAsia="Times New Roman"/>
          <w:b/>
          <w:bCs/>
          <w:szCs w:val="24"/>
        </w:rPr>
        <w:t xml:space="preserve">(“Değişim Yönündeki Sosyo-Ekonomik Baskı” başlığından “14 Mart 1950 Seçimleri” </w:t>
      </w:r>
      <w:r w:rsidR="00C853B1">
        <w:rPr>
          <w:rFonts w:eastAsia="Times New Roman"/>
          <w:b/>
          <w:bCs/>
          <w:szCs w:val="24"/>
        </w:rPr>
        <w:t>başlıklı kısmın sonuna kadar</w:t>
      </w:r>
      <w:r w:rsidR="00C853B1">
        <w:rPr>
          <w:rFonts w:eastAsia="Times New Roman"/>
          <w:b/>
          <w:bCs/>
          <w:szCs w:val="24"/>
        </w:rPr>
        <w:t>)</w:t>
      </w:r>
    </w:p>
    <w:p w:rsidR="00047C85" w:rsidRPr="00C00CE5" w:rsidRDefault="00047C85" w:rsidP="00047C85">
      <w:pPr>
        <w:spacing w:before="100" w:beforeAutospacing="1" w:after="100" w:afterAutospacing="1" w:line="240" w:lineRule="auto"/>
        <w:jc w:val="center"/>
        <w:rPr>
          <w:rFonts w:eastAsia="Times New Roman"/>
          <w:szCs w:val="24"/>
          <w:u w:val="single"/>
        </w:rPr>
      </w:pPr>
      <w:r w:rsidRPr="00C00CE5">
        <w:rPr>
          <w:rFonts w:eastAsia="Times New Roman"/>
          <w:b/>
          <w:bCs/>
          <w:szCs w:val="24"/>
          <w:u w:val="single"/>
        </w:rPr>
        <w:t>ON</w:t>
      </w:r>
      <w:r w:rsidR="00445AAD" w:rsidRPr="00C00CE5">
        <w:rPr>
          <w:rFonts w:eastAsia="Times New Roman"/>
          <w:b/>
          <w:bCs/>
          <w:szCs w:val="24"/>
          <w:u w:val="single"/>
        </w:rPr>
        <w:t xml:space="preserve"> </w:t>
      </w:r>
      <w:r w:rsidRPr="00C00CE5">
        <w:rPr>
          <w:rFonts w:eastAsia="Times New Roman"/>
          <w:b/>
          <w:bCs/>
          <w:szCs w:val="24"/>
          <w:u w:val="single"/>
        </w:rPr>
        <w:t>BİRİNCİ HAFTA</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DEMOKRAT PARTİ İKTİDARI</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1950-1960</w:t>
      </w:r>
    </w:p>
    <w:p w:rsidR="00047C85" w:rsidRPr="00C00CE5" w:rsidRDefault="006A54AB" w:rsidP="00047C85">
      <w:pPr>
        <w:spacing w:before="100" w:beforeAutospacing="1" w:after="100" w:afterAutospacing="1" w:line="240" w:lineRule="auto"/>
        <w:jc w:val="center"/>
        <w:rPr>
          <w:rFonts w:eastAsia="Times New Roman"/>
          <w:szCs w:val="24"/>
        </w:rPr>
      </w:pPr>
      <w:r w:rsidRPr="00C00CE5">
        <w:rPr>
          <w:rFonts w:eastAsia="Times New Roman"/>
          <w:b/>
          <w:bCs/>
          <w:szCs w:val="24"/>
        </w:rPr>
        <w:t>Okuma</w:t>
      </w:r>
      <w:r w:rsidR="004157D4">
        <w:rPr>
          <w:rFonts w:eastAsia="Times New Roman"/>
          <w:b/>
          <w:bCs/>
          <w:szCs w:val="24"/>
        </w:rPr>
        <w:t>: Zürcher (s. 257-278</w:t>
      </w:r>
      <w:r w:rsidR="00047C85" w:rsidRPr="00C00CE5">
        <w:rPr>
          <w:rFonts w:eastAsia="Times New Roman"/>
          <w:b/>
          <w:bCs/>
          <w:szCs w:val="24"/>
        </w:rPr>
        <w:t xml:space="preserve">) </w:t>
      </w:r>
      <w:r w:rsidR="00C853B1">
        <w:rPr>
          <w:rFonts w:eastAsia="Times New Roman"/>
          <w:b/>
          <w:bCs/>
          <w:szCs w:val="24"/>
        </w:rPr>
        <w:t xml:space="preserve">(“Yeni Meclis ve Yeni Kabine” başlığından “Menderes’in Son Yılları” </w:t>
      </w:r>
      <w:r w:rsidR="00C853B1">
        <w:rPr>
          <w:rFonts w:eastAsia="Times New Roman"/>
          <w:b/>
          <w:bCs/>
          <w:szCs w:val="24"/>
        </w:rPr>
        <w:t>başlıklı kısmın sonuna kadar</w:t>
      </w:r>
      <w:r w:rsidR="00C853B1">
        <w:rPr>
          <w:rFonts w:eastAsia="Times New Roman"/>
          <w:b/>
          <w:bCs/>
          <w:szCs w:val="24"/>
        </w:rPr>
        <w:t>)</w:t>
      </w:r>
    </w:p>
    <w:p w:rsidR="00047C85" w:rsidRPr="00C00CE5" w:rsidRDefault="00047C85" w:rsidP="00047C85">
      <w:pPr>
        <w:spacing w:before="100" w:beforeAutospacing="1" w:after="100" w:afterAutospacing="1" w:line="240" w:lineRule="auto"/>
        <w:jc w:val="center"/>
        <w:rPr>
          <w:rFonts w:eastAsia="Times New Roman"/>
          <w:szCs w:val="24"/>
          <w:u w:val="single"/>
        </w:rPr>
      </w:pPr>
      <w:r w:rsidRPr="00C00CE5">
        <w:rPr>
          <w:rFonts w:eastAsia="Times New Roman"/>
          <w:b/>
          <w:bCs/>
          <w:szCs w:val="24"/>
          <w:u w:val="single"/>
        </w:rPr>
        <w:t>ON</w:t>
      </w:r>
      <w:r w:rsidR="00445AAD" w:rsidRPr="00C00CE5">
        <w:rPr>
          <w:rFonts w:eastAsia="Times New Roman"/>
          <w:b/>
          <w:bCs/>
          <w:szCs w:val="24"/>
          <w:u w:val="single"/>
        </w:rPr>
        <w:t xml:space="preserve"> </w:t>
      </w:r>
      <w:r w:rsidRPr="00C00CE5">
        <w:rPr>
          <w:rFonts w:eastAsia="Times New Roman"/>
          <w:b/>
          <w:bCs/>
          <w:szCs w:val="24"/>
          <w:u w:val="single"/>
        </w:rPr>
        <w:t>İKİNCİ HAFTA</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27 MAYIS VE SONRASI</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1960-1970</w:t>
      </w:r>
    </w:p>
    <w:p w:rsidR="00047C85" w:rsidRPr="00C00CE5" w:rsidRDefault="006A54AB" w:rsidP="00047C85">
      <w:pPr>
        <w:spacing w:before="100" w:beforeAutospacing="1" w:after="100" w:afterAutospacing="1" w:line="240" w:lineRule="auto"/>
        <w:jc w:val="center"/>
        <w:rPr>
          <w:rFonts w:eastAsia="Times New Roman"/>
          <w:szCs w:val="24"/>
        </w:rPr>
      </w:pPr>
      <w:r w:rsidRPr="00C00CE5">
        <w:rPr>
          <w:rFonts w:eastAsia="Times New Roman"/>
          <w:b/>
          <w:bCs/>
          <w:szCs w:val="24"/>
        </w:rPr>
        <w:t>Okuma</w:t>
      </w:r>
      <w:r w:rsidR="00CF6688">
        <w:rPr>
          <w:rFonts w:eastAsia="Times New Roman"/>
          <w:b/>
          <w:bCs/>
          <w:szCs w:val="24"/>
        </w:rPr>
        <w:t>: Zürcher (s. 279-295</w:t>
      </w:r>
      <w:r w:rsidR="00047C85" w:rsidRPr="00C00CE5">
        <w:rPr>
          <w:rFonts w:eastAsia="Times New Roman"/>
          <w:b/>
          <w:bCs/>
          <w:szCs w:val="24"/>
        </w:rPr>
        <w:t>)</w:t>
      </w:r>
      <w:r w:rsidR="00A54CDC">
        <w:rPr>
          <w:rFonts w:eastAsia="Times New Roman"/>
          <w:b/>
          <w:bCs/>
          <w:szCs w:val="24"/>
        </w:rPr>
        <w:t xml:space="preserve"> (“</w:t>
      </w:r>
      <w:r w:rsidR="009A68F0">
        <w:rPr>
          <w:rFonts w:eastAsia="Times New Roman"/>
          <w:b/>
          <w:bCs/>
          <w:szCs w:val="24"/>
        </w:rPr>
        <w:t>27 Mayıs 1960 Askerî Müdahalesi</w:t>
      </w:r>
      <w:r w:rsidR="00A54CDC">
        <w:rPr>
          <w:rFonts w:eastAsia="Times New Roman"/>
          <w:b/>
          <w:bCs/>
          <w:szCs w:val="24"/>
        </w:rPr>
        <w:t xml:space="preserve">” </w:t>
      </w:r>
      <w:r w:rsidR="009A68F0">
        <w:rPr>
          <w:rFonts w:eastAsia="Times New Roman"/>
          <w:b/>
          <w:bCs/>
          <w:szCs w:val="24"/>
        </w:rPr>
        <w:t>başlığından</w:t>
      </w:r>
      <w:r w:rsidR="00A54CDC">
        <w:rPr>
          <w:rFonts w:eastAsia="Times New Roman"/>
          <w:b/>
          <w:bCs/>
          <w:szCs w:val="24"/>
        </w:rPr>
        <w:t xml:space="preserve"> “</w:t>
      </w:r>
      <w:r w:rsidR="009A68F0">
        <w:rPr>
          <w:rFonts w:eastAsia="Times New Roman"/>
          <w:b/>
          <w:bCs/>
          <w:szCs w:val="24"/>
        </w:rPr>
        <w:t>Sağ</w:t>
      </w:r>
      <w:r w:rsidR="00A54CDC">
        <w:rPr>
          <w:rFonts w:eastAsia="Times New Roman"/>
          <w:b/>
          <w:bCs/>
          <w:szCs w:val="24"/>
        </w:rPr>
        <w:t>”</w:t>
      </w:r>
      <w:r w:rsidR="009A68F0">
        <w:rPr>
          <w:rFonts w:eastAsia="Times New Roman"/>
          <w:b/>
          <w:bCs/>
          <w:szCs w:val="24"/>
        </w:rPr>
        <w:t xml:space="preserve"> </w:t>
      </w:r>
      <w:r w:rsidR="00A54CDC">
        <w:rPr>
          <w:rFonts w:eastAsia="Times New Roman"/>
          <w:b/>
          <w:bCs/>
          <w:szCs w:val="24"/>
        </w:rPr>
        <w:t>başlıklı kısmın sonuna kadar</w:t>
      </w:r>
      <w:r w:rsidR="00A54CDC">
        <w:rPr>
          <w:rFonts w:eastAsia="Times New Roman"/>
          <w:b/>
          <w:bCs/>
          <w:szCs w:val="24"/>
        </w:rPr>
        <w:t>)</w:t>
      </w:r>
      <w:r w:rsidR="00047C85" w:rsidRPr="00C00CE5">
        <w:rPr>
          <w:rFonts w:eastAsia="Times New Roman"/>
          <w:b/>
          <w:bCs/>
          <w:szCs w:val="24"/>
        </w:rPr>
        <w:t xml:space="preserve"> </w:t>
      </w:r>
    </w:p>
    <w:p w:rsidR="00047C85" w:rsidRPr="00C00CE5" w:rsidRDefault="00047C85" w:rsidP="00047C85">
      <w:pPr>
        <w:spacing w:before="100" w:beforeAutospacing="1" w:after="100" w:afterAutospacing="1" w:line="240" w:lineRule="auto"/>
        <w:jc w:val="center"/>
        <w:outlineLvl w:val="0"/>
        <w:rPr>
          <w:rFonts w:eastAsia="Times New Roman"/>
          <w:b/>
          <w:bCs/>
          <w:kern w:val="36"/>
          <w:szCs w:val="24"/>
          <w:u w:val="single"/>
        </w:rPr>
      </w:pPr>
      <w:r w:rsidRPr="00C00CE5">
        <w:rPr>
          <w:rFonts w:eastAsia="Times New Roman"/>
          <w:b/>
          <w:bCs/>
          <w:kern w:val="36"/>
          <w:szCs w:val="24"/>
          <w:u w:val="single"/>
        </w:rPr>
        <w:t>ON</w:t>
      </w:r>
      <w:r w:rsidR="00445AAD" w:rsidRPr="00C00CE5">
        <w:rPr>
          <w:rFonts w:eastAsia="Times New Roman"/>
          <w:b/>
          <w:bCs/>
          <w:kern w:val="36"/>
          <w:szCs w:val="24"/>
          <w:u w:val="single"/>
        </w:rPr>
        <w:t xml:space="preserve"> </w:t>
      </w:r>
      <w:r w:rsidRPr="00C00CE5">
        <w:rPr>
          <w:rFonts w:eastAsia="Times New Roman"/>
          <w:b/>
          <w:bCs/>
          <w:kern w:val="36"/>
          <w:szCs w:val="24"/>
          <w:u w:val="single"/>
        </w:rPr>
        <w:t>ÜÇÜNCÜ HAFTA</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12 MART VE SONRASI</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1970-1980</w:t>
      </w:r>
    </w:p>
    <w:p w:rsidR="00047C85" w:rsidRDefault="006A54AB" w:rsidP="00047C85">
      <w:pPr>
        <w:spacing w:before="100" w:beforeAutospacing="1" w:after="100" w:afterAutospacing="1" w:line="240" w:lineRule="auto"/>
        <w:jc w:val="center"/>
        <w:rPr>
          <w:rFonts w:eastAsia="Times New Roman"/>
          <w:b/>
          <w:bCs/>
          <w:szCs w:val="24"/>
        </w:rPr>
      </w:pPr>
      <w:r w:rsidRPr="00C00CE5">
        <w:rPr>
          <w:rFonts w:eastAsia="Times New Roman"/>
          <w:b/>
          <w:bCs/>
          <w:szCs w:val="24"/>
        </w:rPr>
        <w:t>Okuma</w:t>
      </w:r>
      <w:r w:rsidR="00CF6688">
        <w:rPr>
          <w:rFonts w:eastAsia="Times New Roman"/>
          <w:b/>
          <w:bCs/>
          <w:szCs w:val="24"/>
        </w:rPr>
        <w:t>: Zürcher (s. 296-316</w:t>
      </w:r>
      <w:r w:rsidR="00047C85" w:rsidRPr="00C00CE5">
        <w:rPr>
          <w:rFonts w:eastAsia="Times New Roman"/>
          <w:b/>
          <w:bCs/>
          <w:szCs w:val="24"/>
        </w:rPr>
        <w:t>)</w:t>
      </w:r>
      <w:r w:rsidR="00E957E1">
        <w:rPr>
          <w:rFonts w:eastAsia="Times New Roman"/>
          <w:b/>
          <w:bCs/>
          <w:szCs w:val="24"/>
        </w:rPr>
        <w:t xml:space="preserve"> (“12 Mart 1971 Askerî Muhtırası” başlığından “Ermeni Terörü” </w:t>
      </w:r>
      <w:r w:rsidR="00E957E1">
        <w:rPr>
          <w:rFonts w:eastAsia="Times New Roman"/>
          <w:b/>
          <w:bCs/>
          <w:szCs w:val="24"/>
        </w:rPr>
        <w:t>başlıklı kısmın sonuna kadar</w:t>
      </w:r>
      <w:r w:rsidR="00E957E1">
        <w:rPr>
          <w:rFonts w:eastAsia="Times New Roman"/>
          <w:b/>
          <w:bCs/>
          <w:szCs w:val="24"/>
        </w:rPr>
        <w:t>)</w:t>
      </w:r>
      <w:r w:rsidR="00047C85" w:rsidRPr="00C00CE5">
        <w:rPr>
          <w:rFonts w:eastAsia="Times New Roman"/>
          <w:b/>
          <w:bCs/>
          <w:szCs w:val="24"/>
        </w:rPr>
        <w:t xml:space="preserve"> </w:t>
      </w:r>
    </w:p>
    <w:p w:rsidR="00047C85" w:rsidRPr="00C00CE5" w:rsidRDefault="00047C85" w:rsidP="00CF6688">
      <w:pPr>
        <w:spacing w:before="100" w:beforeAutospacing="1" w:after="100" w:afterAutospacing="1" w:line="240" w:lineRule="auto"/>
        <w:ind w:left="2880" w:firstLine="720"/>
        <w:rPr>
          <w:rFonts w:eastAsia="Times New Roman"/>
          <w:szCs w:val="24"/>
          <w:u w:val="single"/>
        </w:rPr>
      </w:pPr>
      <w:r w:rsidRPr="00C00CE5">
        <w:rPr>
          <w:rFonts w:eastAsia="Times New Roman"/>
          <w:b/>
          <w:bCs/>
          <w:szCs w:val="24"/>
          <w:u w:val="single"/>
        </w:rPr>
        <w:t>ON</w:t>
      </w:r>
      <w:r w:rsidR="00445AAD" w:rsidRPr="00C00CE5">
        <w:rPr>
          <w:rFonts w:eastAsia="Times New Roman"/>
          <w:b/>
          <w:bCs/>
          <w:szCs w:val="24"/>
          <w:u w:val="single"/>
        </w:rPr>
        <w:t xml:space="preserve"> </w:t>
      </w:r>
      <w:r w:rsidRPr="00C00CE5">
        <w:rPr>
          <w:rFonts w:eastAsia="Times New Roman"/>
          <w:b/>
          <w:bCs/>
          <w:szCs w:val="24"/>
          <w:u w:val="single"/>
        </w:rPr>
        <w:t>DÖRDÜNCÜ HAFTA</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12 EYLÜL VE SONRASI</w:t>
      </w:r>
    </w:p>
    <w:p w:rsidR="00047C85" w:rsidRPr="00C00CE5" w:rsidRDefault="00047C85" w:rsidP="00047C85">
      <w:pPr>
        <w:spacing w:before="100" w:beforeAutospacing="1" w:after="100" w:afterAutospacing="1" w:line="240" w:lineRule="auto"/>
        <w:jc w:val="center"/>
        <w:rPr>
          <w:rFonts w:eastAsia="Times New Roman"/>
          <w:szCs w:val="24"/>
        </w:rPr>
      </w:pPr>
      <w:r w:rsidRPr="00C00CE5">
        <w:rPr>
          <w:rFonts w:eastAsia="Times New Roman"/>
          <w:b/>
          <w:bCs/>
          <w:szCs w:val="24"/>
        </w:rPr>
        <w:t>1980-2000’ler</w:t>
      </w:r>
    </w:p>
    <w:p w:rsidR="00EC759C" w:rsidRPr="00C00CE5" w:rsidRDefault="006A54AB" w:rsidP="00445AAD">
      <w:pPr>
        <w:jc w:val="center"/>
      </w:pPr>
      <w:r w:rsidRPr="00C00CE5">
        <w:rPr>
          <w:rFonts w:eastAsia="Times New Roman"/>
          <w:b/>
          <w:bCs/>
          <w:szCs w:val="24"/>
        </w:rPr>
        <w:t>Okuma</w:t>
      </w:r>
      <w:r w:rsidR="00CF6688">
        <w:rPr>
          <w:rFonts w:eastAsia="Times New Roman"/>
          <w:b/>
          <w:bCs/>
          <w:szCs w:val="24"/>
        </w:rPr>
        <w:t>: Zürcher (s. 319-374</w:t>
      </w:r>
      <w:r w:rsidR="00047C85" w:rsidRPr="00C00CE5">
        <w:rPr>
          <w:rFonts w:eastAsia="Times New Roman"/>
          <w:b/>
          <w:bCs/>
          <w:szCs w:val="24"/>
        </w:rPr>
        <w:t xml:space="preserve">) </w:t>
      </w:r>
      <w:r w:rsidR="00E957E1">
        <w:rPr>
          <w:rFonts w:eastAsia="Times New Roman"/>
          <w:b/>
          <w:bCs/>
          <w:szCs w:val="24"/>
        </w:rPr>
        <w:t xml:space="preserve">(“Darbe ve Sonuçları: Mevcut Siyasal Sistemin Tasfiyesi” başlığından “1991 Sonrası Bölgesel İlişkiler” </w:t>
      </w:r>
      <w:r w:rsidR="00E957E1">
        <w:rPr>
          <w:rFonts w:eastAsia="Times New Roman"/>
          <w:b/>
          <w:bCs/>
          <w:szCs w:val="24"/>
        </w:rPr>
        <w:t>başlıklı kısmın sonuna kadar</w:t>
      </w:r>
      <w:r w:rsidR="00E957E1">
        <w:rPr>
          <w:rFonts w:eastAsia="Times New Roman"/>
          <w:b/>
          <w:bCs/>
          <w:szCs w:val="24"/>
        </w:rPr>
        <w:t>)</w:t>
      </w:r>
    </w:p>
    <w:sectPr w:rsidR="00EC759C" w:rsidRPr="00C00CE5" w:rsidSect="00EC759C">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05" w:rsidRDefault="00416805" w:rsidP="00F155E0">
      <w:pPr>
        <w:spacing w:after="0" w:line="240" w:lineRule="auto"/>
      </w:pPr>
      <w:r>
        <w:separator/>
      </w:r>
    </w:p>
  </w:endnote>
  <w:endnote w:type="continuationSeparator" w:id="0">
    <w:p w:rsidR="00416805" w:rsidRDefault="00416805" w:rsidP="00F1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E0" w:rsidRDefault="00EA650D">
    <w:pPr>
      <w:pStyle w:val="Footer"/>
      <w:jc w:val="right"/>
    </w:pPr>
    <w:r>
      <w:fldChar w:fldCharType="begin"/>
    </w:r>
    <w:r>
      <w:instrText xml:space="preserve"> PAGE   \* MERGEFORMAT </w:instrText>
    </w:r>
    <w:r>
      <w:fldChar w:fldCharType="separate"/>
    </w:r>
    <w:r w:rsidR="00416805">
      <w:rPr>
        <w:noProof/>
      </w:rPr>
      <w:t>1</w:t>
    </w:r>
    <w:r>
      <w:rPr>
        <w:noProof/>
      </w:rPr>
      <w:fldChar w:fldCharType="end"/>
    </w:r>
  </w:p>
  <w:p w:rsidR="00F155E0" w:rsidRDefault="00F15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05" w:rsidRDefault="00416805" w:rsidP="00F155E0">
      <w:pPr>
        <w:spacing w:after="0" w:line="240" w:lineRule="auto"/>
      </w:pPr>
      <w:r>
        <w:separator/>
      </w:r>
    </w:p>
  </w:footnote>
  <w:footnote w:type="continuationSeparator" w:id="0">
    <w:p w:rsidR="00416805" w:rsidRDefault="00416805" w:rsidP="00F15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4E79"/>
    <w:multiLevelType w:val="hybridMultilevel"/>
    <w:tmpl w:val="F90833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047C85"/>
    <w:rsid w:val="00004F1C"/>
    <w:rsid w:val="00023E0C"/>
    <w:rsid w:val="000251C6"/>
    <w:rsid w:val="00031F92"/>
    <w:rsid w:val="00032B3D"/>
    <w:rsid w:val="000374E0"/>
    <w:rsid w:val="00037872"/>
    <w:rsid w:val="000458AE"/>
    <w:rsid w:val="00047127"/>
    <w:rsid w:val="00047C85"/>
    <w:rsid w:val="00050677"/>
    <w:rsid w:val="00052A50"/>
    <w:rsid w:val="00053B46"/>
    <w:rsid w:val="00056B1D"/>
    <w:rsid w:val="00061ECC"/>
    <w:rsid w:val="0006281B"/>
    <w:rsid w:val="00064CCF"/>
    <w:rsid w:val="00071C5B"/>
    <w:rsid w:val="00085129"/>
    <w:rsid w:val="00085C65"/>
    <w:rsid w:val="00091154"/>
    <w:rsid w:val="00094619"/>
    <w:rsid w:val="00095077"/>
    <w:rsid w:val="000962CA"/>
    <w:rsid w:val="000A032B"/>
    <w:rsid w:val="000A2395"/>
    <w:rsid w:val="000A42EB"/>
    <w:rsid w:val="000A63AF"/>
    <w:rsid w:val="000B3461"/>
    <w:rsid w:val="000B587D"/>
    <w:rsid w:val="000C2745"/>
    <w:rsid w:val="000C4D54"/>
    <w:rsid w:val="000C795A"/>
    <w:rsid w:val="000C7F8E"/>
    <w:rsid w:val="000D09B9"/>
    <w:rsid w:val="000D1564"/>
    <w:rsid w:val="000E5315"/>
    <w:rsid w:val="000E55D2"/>
    <w:rsid w:val="000E7E86"/>
    <w:rsid w:val="000F2676"/>
    <w:rsid w:val="001028B9"/>
    <w:rsid w:val="00102A12"/>
    <w:rsid w:val="00104B5F"/>
    <w:rsid w:val="00106580"/>
    <w:rsid w:val="00110BCC"/>
    <w:rsid w:val="00112130"/>
    <w:rsid w:val="00112FF5"/>
    <w:rsid w:val="001221A8"/>
    <w:rsid w:val="001242AE"/>
    <w:rsid w:val="0012462B"/>
    <w:rsid w:val="00130CDE"/>
    <w:rsid w:val="001341EF"/>
    <w:rsid w:val="00134721"/>
    <w:rsid w:val="00141090"/>
    <w:rsid w:val="00144292"/>
    <w:rsid w:val="00144412"/>
    <w:rsid w:val="00145195"/>
    <w:rsid w:val="001474D3"/>
    <w:rsid w:val="001548EC"/>
    <w:rsid w:val="001632D4"/>
    <w:rsid w:val="001670F5"/>
    <w:rsid w:val="00171551"/>
    <w:rsid w:val="001755D3"/>
    <w:rsid w:val="001810EF"/>
    <w:rsid w:val="00181BBB"/>
    <w:rsid w:val="001836F7"/>
    <w:rsid w:val="001858FB"/>
    <w:rsid w:val="00196942"/>
    <w:rsid w:val="00196AE4"/>
    <w:rsid w:val="001A7161"/>
    <w:rsid w:val="001B3075"/>
    <w:rsid w:val="001B3823"/>
    <w:rsid w:val="001B53E7"/>
    <w:rsid w:val="001C03DA"/>
    <w:rsid w:val="001C32D6"/>
    <w:rsid w:val="001C529E"/>
    <w:rsid w:val="001D1883"/>
    <w:rsid w:val="001E3B94"/>
    <w:rsid w:val="001E5BD5"/>
    <w:rsid w:val="001E6A6D"/>
    <w:rsid w:val="001F0AB2"/>
    <w:rsid w:val="001F1BE7"/>
    <w:rsid w:val="001F533F"/>
    <w:rsid w:val="001F5D3A"/>
    <w:rsid w:val="001F5DC9"/>
    <w:rsid w:val="001F5FFD"/>
    <w:rsid w:val="002015CD"/>
    <w:rsid w:val="00212E7C"/>
    <w:rsid w:val="002170B8"/>
    <w:rsid w:val="00220CFB"/>
    <w:rsid w:val="00221215"/>
    <w:rsid w:val="00221F78"/>
    <w:rsid w:val="0022336C"/>
    <w:rsid w:val="00223763"/>
    <w:rsid w:val="00225185"/>
    <w:rsid w:val="00227840"/>
    <w:rsid w:val="00231596"/>
    <w:rsid w:val="00232D22"/>
    <w:rsid w:val="002347C1"/>
    <w:rsid w:val="00235171"/>
    <w:rsid w:val="00237944"/>
    <w:rsid w:val="00237B71"/>
    <w:rsid w:val="002404A2"/>
    <w:rsid w:val="0026047E"/>
    <w:rsid w:val="00271E94"/>
    <w:rsid w:val="00272D85"/>
    <w:rsid w:val="00274EBC"/>
    <w:rsid w:val="00280914"/>
    <w:rsid w:val="00281BB7"/>
    <w:rsid w:val="002A2244"/>
    <w:rsid w:val="002A22E7"/>
    <w:rsid w:val="002A5679"/>
    <w:rsid w:val="002B3939"/>
    <w:rsid w:val="002B7AF0"/>
    <w:rsid w:val="002C0DDA"/>
    <w:rsid w:val="002C341B"/>
    <w:rsid w:val="002C3ACC"/>
    <w:rsid w:val="002D5C79"/>
    <w:rsid w:val="00304C41"/>
    <w:rsid w:val="003052D4"/>
    <w:rsid w:val="00315F1F"/>
    <w:rsid w:val="00316DAA"/>
    <w:rsid w:val="00320B40"/>
    <w:rsid w:val="00321C87"/>
    <w:rsid w:val="00330C60"/>
    <w:rsid w:val="00333600"/>
    <w:rsid w:val="00335324"/>
    <w:rsid w:val="00344F8E"/>
    <w:rsid w:val="00346DC9"/>
    <w:rsid w:val="00347A07"/>
    <w:rsid w:val="00355331"/>
    <w:rsid w:val="003564ED"/>
    <w:rsid w:val="003566FD"/>
    <w:rsid w:val="00360AA5"/>
    <w:rsid w:val="00361FB7"/>
    <w:rsid w:val="00370860"/>
    <w:rsid w:val="00371FF2"/>
    <w:rsid w:val="003729AC"/>
    <w:rsid w:val="00376999"/>
    <w:rsid w:val="003776E2"/>
    <w:rsid w:val="00380BF8"/>
    <w:rsid w:val="003832B4"/>
    <w:rsid w:val="00384DD4"/>
    <w:rsid w:val="003A6430"/>
    <w:rsid w:val="003A7D70"/>
    <w:rsid w:val="003A7E1D"/>
    <w:rsid w:val="003C0311"/>
    <w:rsid w:val="003C0EC0"/>
    <w:rsid w:val="003C1100"/>
    <w:rsid w:val="003D7064"/>
    <w:rsid w:val="003D7AEC"/>
    <w:rsid w:val="003F4823"/>
    <w:rsid w:val="003F7FAC"/>
    <w:rsid w:val="0040213A"/>
    <w:rsid w:val="00407C72"/>
    <w:rsid w:val="00410008"/>
    <w:rsid w:val="00410660"/>
    <w:rsid w:val="004157D4"/>
    <w:rsid w:val="00416805"/>
    <w:rsid w:val="0042629F"/>
    <w:rsid w:val="004305EE"/>
    <w:rsid w:val="004438F8"/>
    <w:rsid w:val="004453F2"/>
    <w:rsid w:val="00445AAD"/>
    <w:rsid w:val="00445B7D"/>
    <w:rsid w:val="00446A7F"/>
    <w:rsid w:val="00446ADB"/>
    <w:rsid w:val="004561E3"/>
    <w:rsid w:val="00471ED0"/>
    <w:rsid w:val="0047759C"/>
    <w:rsid w:val="00484B23"/>
    <w:rsid w:val="00490ACD"/>
    <w:rsid w:val="00490E30"/>
    <w:rsid w:val="0049362D"/>
    <w:rsid w:val="00495987"/>
    <w:rsid w:val="004A4943"/>
    <w:rsid w:val="004A5EC3"/>
    <w:rsid w:val="004B2A04"/>
    <w:rsid w:val="004B5CFC"/>
    <w:rsid w:val="004B7695"/>
    <w:rsid w:val="004B78F2"/>
    <w:rsid w:val="004C4D16"/>
    <w:rsid w:val="004E37BA"/>
    <w:rsid w:val="004F7B66"/>
    <w:rsid w:val="005018EE"/>
    <w:rsid w:val="00502BA0"/>
    <w:rsid w:val="00503E19"/>
    <w:rsid w:val="00507154"/>
    <w:rsid w:val="005072FA"/>
    <w:rsid w:val="00516951"/>
    <w:rsid w:val="0052201E"/>
    <w:rsid w:val="00523471"/>
    <w:rsid w:val="005301AD"/>
    <w:rsid w:val="005342E2"/>
    <w:rsid w:val="005344F4"/>
    <w:rsid w:val="00536098"/>
    <w:rsid w:val="005360AA"/>
    <w:rsid w:val="005466FB"/>
    <w:rsid w:val="00551304"/>
    <w:rsid w:val="00556C13"/>
    <w:rsid w:val="00556F16"/>
    <w:rsid w:val="005651B6"/>
    <w:rsid w:val="005737F5"/>
    <w:rsid w:val="00573C12"/>
    <w:rsid w:val="00577247"/>
    <w:rsid w:val="00581628"/>
    <w:rsid w:val="0058352A"/>
    <w:rsid w:val="00587AFE"/>
    <w:rsid w:val="00587D1B"/>
    <w:rsid w:val="005927C2"/>
    <w:rsid w:val="00593761"/>
    <w:rsid w:val="00593CC3"/>
    <w:rsid w:val="005A1578"/>
    <w:rsid w:val="005A45FD"/>
    <w:rsid w:val="005A5ED1"/>
    <w:rsid w:val="005A70FB"/>
    <w:rsid w:val="005B3299"/>
    <w:rsid w:val="005C0C73"/>
    <w:rsid w:val="005C3F67"/>
    <w:rsid w:val="005C655D"/>
    <w:rsid w:val="005C68BE"/>
    <w:rsid w:val="005C7B94"/>
    <w:rsid w:val="005D20B1"/>
    <w:rsid w:val="005D28E1"/>
    <w:rsid w:val="005D3234"/>
    <w:rsid w:val="005E04BE"/>
    <w:rsid w:val="005E4670"/>
    <w:rsid w:val="005F30D8"/>
    <w:rsid w:val="005F3E8C"/>
    <w:rsid w:val="00600BEE"/>
    <w:rsid w:val="00604B12"/>
    <w:rsid w:val="0060648F"/>
    <w:rsid w:val="00610834"/>
    <w:rsid w:val="00621279"/>
    <w:rsid w:val="0062143D"/>
    <w:rsid w:val="00622349"/>
    <w:rsid w:val="00627CF1"/>
    <w:rsid w:val="00631DC2"/>
    <w:rsid w:val="00642670"/>
    <w:rsid w:val="00643101"/>
    <w:rsid w:val="00653049"/>
    <w:rsid w:val="006559C3"/>
    <w:rsid w:val="0065761D"/>
    <w:rsid w:val="006620C2"/>
    <w:rsid w:val="00664A1F"/>
    <w:rsid w:val="006728F2"/>
    <w:rsid w:val="006915EF"/>
    <w:rsid w:val="00696AE5"/>
    <w:rsid w:val="0069705B"/>
    <w:rsid w:val="006A54AB"/>
    <w:rsid w:val="006B23C7"/>
    <w:rsid w:val="006B6978"/>
    <w:rsid w:val="006C23C9"/>
    <w:rsid w:val="006C43B1"/>
    <w:rsid w:val="006D0690"/>
    <w:rsid w:val="006D1B52"/>
    <w:rsid w:val="006D4B47"/>
    <w:rsid w:val="006D509A"/>
    <w:rsid w:val="006D53EB"/>
    <w:rsid w:val="006D554B"/>
    <w:rsid w:val="006D6B72"/>
    <w:rsid w:val="006E0C06"/>
    <w:rsid w:val="006E31FD"/>
    <w:rsid w:val="006E6AD0"/>
    <w:rsid w:val="006F7585"/>
    <w:rsid w:val="00701ECF"/>
    <w:rsid w:val="00702C58"/>
    <w:rsid w:val="007070F6"/>
    <w:rsid w:val="007128A6"/>
    <w:rsid w:val="00714002"/>
    <w:rsid w:val="007206EE"/>
    <w:rsid w:val="00722ABD"/>
    <w:rsid w:val="00723130"/>
    <w:rsid w:val="00730976"/>
    <w:rsid w:val="00740384"/>
    <w:rsid w:val="00760627"/>
    <w:rsid w:val="00761C45"/>
    <w:rsid w:val="007720C2"/>
    <w:rsid w:val="00776D90"/>
    <w:rsid w:val="00786923"/>
    <w:rsid w:val="007879CF"/>
    <w:rsid w:val="00792B87"/>
    <w:rsid w:val="00796E50"/>
    <w:rsid w:val="007A0475"/>
    <w:rsid w:val="007A1551"/>
    <w:rsid w:val="007A2C58"/>
    <w:rsid w:val="007A36DB"/>
    <w:rsid w:val="007A3EAD"/>
    <w:rsid w:val="007B1778"/>
    <w:rsid w:val="007C5539"/>
    <w:rsid w:val="007C650E"/>
    <w:rsid w:val="007D3E86"/>
    <w:rsid w:val="007F4916"/>
    <w:rsid w:val="007F74CF"/>
    <w:rsid w:val="0080043F"/>
    <w:rsid w:val="00812215"/>
    <w:rsid w:val="00827FF7"/>
    <w:rsid w:val="0083323B"/>
    <w:rsid w:val="00846E1F"/>
    <w:rsid w:val="00847095"/>
    <w:rsid w:val="00850F49"/>
    <w:rsid w:val="00856ED1"/>
    <w:rsid w:val="008659E2"/>
    <w:rsid w:val="008740A9"/>
    <w:rsid w:val="00874235"/>
    <w:rsid w:val="0087638E"/>
    <w:rsid w:val="008773E2"/>
    <w:rsid w:val="008837B9"/>
    <w:rsid w:val="00886021"/>
    <w:rsid w:val="00894124"/>
    <w:rsid w:val="00895077"/>
    <w:rsid w:val="008A26AC"/>
    <w:rsid w:val="008A3455"/>
    <w:rsid w:val="008A743F"/>
    <w:rsid w:val="008B4635"/>
    <w:rsid w:val="008B66A1"/>
    <w:rsid w:val="008C48DC"/>
    <w:rsid w:val="008D436C"/>
    <w:rsid w:val="008D472E"/>
    <w:rsid w:val="008D5C8E"/>
    <w:rsid w:val="008E2417"/>
    <w:rsid w:val="008E562E"/>
    <w:rsid w:val="008F1F3D"/>
    <w:rsid w:val="009039CE"/>
    <w:rsid w:val="00910002"/>
    <w:rsid w:val="0091376F"/>
    <w:rsid w:val="0091527D"/>
    <w:rsid w:val="009159D2"/>
    <w:rsid w:val="009167ED"/>
    <w:rsid w:val="0091680E"/>
    <w:rsid w:val="00917672"/>
    <w:rsid w:val="009203F1"/>
    <w:rsid w:val="00921055"/>
    <w:rsid w:val="00926B11"/>
    <w:rsid w:val="00930BA2"/>
    <w:rsid w:val="0093101C"/>
    <w:rsid w:val="00933B7A"/>
    <w:rsid w:val="00945E70"/>
    <w:rsid w:val="0096090B"/>
    <w:rsid w:val="0096676E"/>
    <w:rsid w:val="0098062D"/>
    <w:rsid w:val="00982034"/>
    <w:rsid w:val="009820CE"/>
    <w:rsid w:val="009824AB"/>
    <w:rsid w:val="0098611E"/>
    <w:rsid w:val="0099008E"/>
    <w:rsid w:val="0099794A"/>
    <w:rsid w:val="009A0648"/>
    <w:rsid w:val="009A2F5A"/>
    <w:rsid w:val="009A4593"/>
    <w:rsid w:val="009A68F0"/>
    <w:rsid w:val="009B0550"/>
    <w:rsid w:val="009B1952"/>
    <w:rsid w:val="009B240A"/>
    <w:rsid w:val="009B6BAE"/>
    <w:rsid w:val="009C5BCD"/>
    <w:rsid w:val="009D1ED1"/>
    <w:rsid w:val="009D5E61"/>
    <w:rsid w:val="009D638B"/>
    <w:rsid w:val="009D6700"/>
    <w:rsid w:val="009E0EEA"/>
    <w:rsid w:val="009F5D28"/>
    <w:rsid w:val="009F7EB7"/>
    <w:rsid w:val="00A05DFB"/>
    <w:rsid w:val="00A061B3"/>
    <w:rsid w:val="00A0678E"/>
    <w:rsid w:val="00A07677"/>
    <w:rsid w:val="00A11181"/>
    <w:rsid w:val="00A11E11"/>
    <w:rsid w:val="00A14EF9"/>
    <w:rsid w:val="00A31E44"/>
    <w:rsid w:val="00A32A1B"/>
    <w:rsid w:val="00A3562B"/>
    <w:rsid w:val="00A40B73"/>
    <w:rsid w:val="00A428E3"/>
    <w:rsid w:val="00A45270"/>
    <w:rsid w:val="00A452AF"/>
    <w:rsid w:val="00A52234"/>
    <w:rsid w:val="00A53BC2"/>
    <w:rsid w:val="00A5487A"/>
    <w:rsid w:val="00A54CDC"/>
    <w:rsid w:val="00A55AC5"/>
    <w:rsid w:val="00A72BA6"/>
    <w:rsid w:val="00A81ECA"/>
    <w:rsid w:val="00A82D8B"/>
    <w:rsid w:val="00A8540A"/>
    <w:rsid w:val="00AB1B79"/>
    <w:rsid w:val="00AB4107"/>
    <w:rsid w:val="00AB519A"/>
    <w:rsid w:val="00AB7A6E"/>
    <w:rsid w:val="00AC08CF"/>
    <w:rsid w:val="00AC280C"/>
    <w:rsid w:val="00AC34AF"/>
    <w:rsid w:val="00AC3BB0"/>
    <w:rsid w:val="00AC6B5D"/>
    <w:rsid w:val="00AC6F3B"/>
    <w:rsid w:val="00AD16A6"/>
    <w:rsid w:val="00AD1A21"/>
    <w:rsid w:val="00AD68F2"/>
    <w:rsid w:val="00AE0883"/>
    <w:rsid w:val="00AE0B46"/>
    <w:rsid w:val="00AE4474"/>
    <w:rsid w:val="00AF056E"/>
    <w:rsid w:val="00AF2911"/>
    <w:rsid w:val="00B01926"/>
    <w:rsid w:val="00B03282"/>
    <w:rsid w:val="00B06293"/>
    <w:rsid w:val="00B119E1"/>
    <w:rsid w:val="00B1372B"/>
    <w:rsid w:val="00B13BDE"/>
    <w:rsid w:val="00B172AD"/>
    <w:rsid w:val="00B17740"/>
    <w:rsid w:val="00B20DF1"/>
    <w:rsid w:val="00B2609A"/>
    <w:rsid w:val="00B26253"/>
    <w:rsid w:val="00B30C3D"/>
    <w:rsid w:val="00B33072"/>
    <w:rsid w:val="00B35113"/>
    <w:rsid w:val="00B40154"/>
    <w:rsid w:val="00B43336"/>
    <w:rsid w:val="00B47301"/>
    <w:rsid w:val="00B50E3C"/>
    <w:rsid w:val="00B51698"/>
    <w:rsid w:val="00B62932"/>
    <w:rsid w:val="00B85E38"/>
    <w:rsid w:val="00B90747"/>
    <w:rsid w:val="00B90ABE"/>
    <w:rsid w:val="00B93712"/>
    <w:rsid w:val="00BA2BA4"/>
    <w:rsid w:val="00BB2C84"/>
    <w:rsid w:val="00BC2409"/>
    <w:rsid w:val="00BD4C89"/>
    <w:rsid w:val="00BD7E6D"/>
    <w:rsid w:val="00BE227F"/>
    <w:rsid w:val="00BE425C"/>
    <w:rsid w:val="00BE67CA"/>
    <w:rsid w:val="00BE7E84"/>
    <w:rsid w:val="00BF112B"/>
    <w:rsid w:val="00C00678"/>
    <w:rsid w:val="00C00CE5"/>
    <w:rsid w:val="00C038C0"/>
    <w:rsid w:val="00C0595F"/>
    <w:rsid w:val="00C07B0D"/>
    <w:rsid w:val="00C10D7E"/>
    <w:rsid w:val="00C129D1"/>
    <w:rsid w:val="00C17B14"/>
    <w:rsid w:val="00C259B1"/>
    <w:rsid w:val="00C42A93"/>
    <w:rsid w:val="00C46744"/>
    <w:rsid w:val="00C53583"/>
    <w:rsid w:val="00C628A1"/>
    <w:rsid w:val="00C7278A"/>
    <w:rsid w:val="00C81746"/>
    <w:rsid w:val="00C82F42"/>
    <w:rsid w:val="00C853B1"/>
    <w:rsid w:val="00C9199C"/>
    <w:rsid w:val="00C92315"/>
    <w:rsid w:val="00C929AB"/>
    <w:rsid w:val="00C94784"/>
    <w:rsid w:val="00C94F2D"/>
    <w:rsid w:val="00CA0857"/>
    <w:rsid w:val="00CA32D6"/>
    <w:rsid w:val="00CA3922"/>
    <w:rsid w:val="00CA5BED"/>
    <w:rsid w:val="00CA73BD"/>
    <w:rsid w:val="00CC3667"/>
    <w:rsid w:val="00CC4923"/>
    <w:rsid w:val="00CC6A96"/>
    <w:rsid w:val="00CD16C7"/>
    <w:rsid w:val="00CD4018"/>
    <w:rsid w:val="00CD5373"/>
    <w:rsid w:val="00CF6688"/>
    <w:rsid w:val="00D00CEA"/>
    <w:rsid w:val="00D0129A"/>
    <w:rsid w:val="00D02906"/>
    <w:rsid w:val="00D04405"/>
    <w:rsid w:val="00D076F6"/>
    <w:rsid w:val="00D07760"/>
    <w:rsid w:val="00D11063"/>
    <w:rsid w:val="00D20DDA"/>
    <w:rsid w:val="00D20ECD"/>
    <w:rsid w:val="00D26976"/>
    <w:rsid w:val="00D27AE5"/>
    <w:rsid w:val="00D319B5"/>
    <w:rsid w:val="00D31A69"/>
    <w:rsid w:val="00D3479E"/>
    <w:rsid w:val="00D417BA"/>
    <w:rsid w:val="00D43A62"/>
    <w:rsid w:val="00D44DE4"/>
    <w:rsid w:val="00D47FAE"/>
    <w:rsid w:val="00D5071C"/>
    <w:rsid w:val="00D55A7E"/>
    <w:rsid w:val="00D66E64"/>
    <w:rsid w:val="00D6708C"/>
    <w:rsid w:val="00D736A4"/>
    <w:rsid w:val="00D772B0"/>
    <w:rsid w:val="00D82B42"/>
    <w:rsid w:val="00D83C56"/>
    <w:rsid w:val="00D847B5"/>
    <w:rsid w:val="00D84DCB"/>
    <w:rsid w:val="00D8561F"/>
    <w:rsid w:val="00D85820"/>
    <w:rsid w:val="00D977DE"/>
    <w:rsid w:val="00DA16C3"/>
    <w:rsid w:val="00DA290D"/>
    <w:rsid w:val="00DB20CF"/>
    <w:rsid w:val="00DB4079"/>
    <w:rsid w:val="00DB5B0C"/>
    <w:rsid w:val="00DB5F04"/>
    <w:rsid w:val="00DC3F80"/>
    <w:rsid w:val="00DC6A5A"/>
    <w:rsid w:val="00DD1459"/>
    <w:rsid w:val="00DD6C25"/>
    <w:rsid w:val="00DD71C3"/>
    <w:rsid w:val="00DE4A23"/>
    <w:rsid w:val="00DE4E2A"/>
    <w:rsid w:val="00DE6A47"/>
    <w:rsid w:val="00DF1A5B"/>
    <w:rsid w:val="00DF4292"/>
    <w:rsid w:val="00E01E0F"/>
    <w:rsid w:val="00E05D43"/>
    <w:rsid w:val="00E14BC2"/>
    <w:rsid w:val="00E205DD"/>
    <w:rsid w:val="00E21141"/>
    <w:rsid w:val="00E21E62"/>
    <w:rsid w:val="00E2778A"/>
    <w:rsid w:val="00E318A7"/>
    <w:rsid w:val="00E5057B"/>
    <w:rsid w:val="00E544C5"/>
    <w:rsid w:val="00E5554B"/>
    <w:rsid w:val="00E564CE"/>
    <w:rsid w:val="00E57C8E"/>
    <w:rsid w:val="00E62941"/>
    <w:rsid w:val="00E629F1"/>
    <w:rsid w:val="00E75BBC"/>
    <w:rsid w:val="00E81B5A"/>
    <w:rsid w:val="00E87FA1"/>
    <w:rsid w:val="00E919B6"/>
    <w:rsid w:val="00E93E08"/>
    <w:rsid w:val="00E9563F"/>
    <w:rsid w:val="00E957E1"/>
    <w:rsid w:val="00EA042F"/>
    <w:rsid w:val="00EA2C27"/>
    <w:rsid w:val="00EA5A19"/>
    <w:rsid w:val="00EA5BB3"/>
    <w:rsid w:val="00EA650D"/>
    <w:rsid w:val="00EA7160"/>
    <w:rsid w:val="00EA7F5F"/>
    <w:rsid w:val="00EB3BC6"/>
    <w:rsid w:val="00EC759C"/>
    <w:rsid w:val="00ED20EA"/>
    <w:rsid w:val="00ED5811"/>
    <w:rsid w:val="00ED79BE"/>
    <w:rsid w:val="00EE3AD2"/>
    <w:rsid w:val="00EE43D0"/>
    <w:rsid w:val="00EE66B2"/>
    <w:rsid w:val="00EF3382"/>
    <w:rsid w:val="00EF56FD"/>
    <w:rsid w:val="00F0062F"/>
    <w:rsid w:val="00F03DD6"/>
    <w:rsid w:val="00F0689A"/>
    <w:rsid w:val="00F07EEA"/>
    <w:rsid w:val="00F10952"/>
    <w:rsid w:val="00F12D23"/>
    <w:rsid w:val="00F1331A"/>
    <w:rsid w:val="00F155E0"/>
    <w:rsid w:val="00F41DC3"/>
    <w:rsid w:val="00F46054"/>
    <w:rsid w:val="00F47C5F"/>
    <w:rsid w:val="00F550C2"/>
    <w:rsid w:val="00F754C1"/>
    <w:rsid w:val="00F769D5"/>
    <w:rsid w:val="00F76E3A"/>
    <w:rsid w:val="00F80130"/>
    <w:rsid w:val="00F8515B"/>
    <w:rsid w:val="00F87836"/>
    <w:rsid w:val="00F94F29"/>
    <w:rsid w:val="00F96042"/>
    <w:rsid w:val="00FB1987"/>
    <w:rsid w:val="00FC4A8F"/>
    <w:rsid w:val="00FC5A8F"/>
    <w:rsid w:val="00FD2663"/>
    <w:rsid w:val="00FD2DC7"/>
    <w:rsid w:val="00FD408F"/>
    <w:rsid w:val="00FE0D9B"/>
    <w:rsid w:val="00FE4653"/>
    <w:rsid w:val="00FF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Founder Extended)"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9C"/>
    <w:pPr>
      <w:spacing w:after="200" w:line="276" w:lineRule="auto"/>
    </w:pPr>
    <w:rPr>
      <w:sz w:val="24"/>
      <w:szCs w:val="22"/>
      <w:lang w:val="tr-TR" w:eastAsia="zh-CN"/>
    </w:rPr>
  </w:style>
  <w:style w:type="paragraph" w:styleId="Heading1">
    <w:name w:val="heading 1"/>
    <w:basedOn w:val="Normal"/>
    <w:link w:val="Heading1Char"/>
    <w:uiPriority w:val="9"/>
    <w:qFormat/>
    <w:rsid w:val="00047C85"/>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7C85"/>
    <w:rPr>
      <w:rFonts w:eastAsia="Times New Roman"/>
      <w:b/>
      <w:bCs/>
      <w:kern w:val="36"/>
      <w:sz w:val="48"/>
      <w:szCs w:val="48"/>
    </w:rPr>
  </w:style>
  <w:style w:type="paragraph" w:styleId="Header">
    <w:name w:val="header"/>
    <w:basedOn w:val="Normal"/>
    <w:link w:val="HeaderChar"/>
    <w:uiPriority w:val="99"/>
    <w:semiHidden/>
    <w:unhideWhenUsed/>
    <w:rsid w:val="00F155E0"/>
    <w:pPr>
      <w:tabs>
        <w:tab w:val="center" w:pos="4703"/>
        <w:tab w:val="right" w:pos="9406"/>
      </w:tabs>
    </w:pPr>
  </w:style>
  <w:style w:type="character" w:customStyle="1" w:styleId="HeaderChar">
    <w:name w:val="Header Char"/>
    <w:link w:val="Header"/>
    <w:uiPriority w:val="99"/>
    <w:semiHidden/>
    <w:rsid w:val="00F155E0"/>
    <w:rPr>
      <w:sz w:val="24"/>
      <w:szCs w:val="22"/>
    </w:rPr>
  </w:style>
  <w:style w:type="paragraph" w:styleId="Footer">
    <w:name w:val="footer"/>
    <w:basedOn w:val="Normal"/>
    <w:link w:val="FooterChar"/>
    <w:uiPriority w:val="99"/>
    <w:unhideWhenUsed/>
    <w:rsid w:val="00F155E0"/>
    <w:pPr>
      <w:tabs>
        <w:tab w:val="center" w:pos="4703"/>
        <w:tab w:val="right" w:pos="9406"/>
      </w:tabs>
    </w:pPr>
  </w:style>
  <w:style w:type="character" w:customStyle="1" w:styleId="FooterChar">
    <w:name w:val="Footer Char"/>
    <w:link w:val="Footer"/>
    <w:uiPriority w:val="99"/>
    <w:rsid w:val="00F155E0"/>
    <w:rPr>
      <w:sz w:val="24"/>
      <w:szCs w:val="22"/>
    </w:rPr>
  </w:style>
  <w:style w:type="paragraph" w:styleId="ListParagraph">
    <w:name w:val="List Paragraph"/>
    <w:basedOn w:val="Normal"/>
    <w:uiPriority w:val="34"/>
    <w:qFormat/>
    <w:rsid w:val="00BC2409"/>
    <w:pPr>
      <w:ind w:left="720"/>
      <w:contextualSpacing/>
    </w:pPr>
  </w:style>
  <w:style w:type="paragraph" w:styleId="BodyText">
    <w:name w:val="Body Text"/>
    <w:basedOn w:val="Normal"/>
    <w:link w:val="BodyTextChar"/>
    <w:rsid w:val="00945E70"/>
    <w:pPr>
      <w:spacing w:after="0" w:line="240" w:lineRule="auto"/>
      <w:jc w:val="both"/>
    </w:pPr>
    <w:rPr>
      <w:rFonts w:eastAsia="Times New Roman"/>
      <w:b/>
      <w:szCs w:val="20"/>
      <w:lang w:val="en-GB" w:eastAsia="en-US"/>
    </w:rPr>
  </w:style>
  <w:style w:type="character" w:customStyle="1" w:styleId="BodyTextChar">
    <w:name w:val="Body Text Char"/>
    <w:basedOn w:val="DefaultParagraphFont"/>
    <w:link w:val="BodyText"/>
    <w:rsid w:val="00945E70"/>
    <w:rPr>
      <w:rFonts w:eastAsia="Times New Roman"/>
      <w:b/>
      <w:sz w:val="24"/>
      <w:lang w:val="en-GB"/>
    </w:rPr>
  </w:style>
  <w:style w:type="character" w:styleId="CommentReference">
    <w:name w:val="annotation reference"/>
    <w:basedOn w:val="DefaultParagraphFont"/>
    <w:uiPriority w:val="99"/>
    <w:semiHidden/>
    <w:unhideWhenUsed/>
    <w:rsid w:val="00E21E62"/>
    <w:rPr>
      <w:sz w:val="16"/>
      <w:szCs w:val="16"/>
    </w:rPr>
  </w:style>
  <w:style w:type="paragraph" w:styleId="CommentText">
    <w:name w:val="annotation text"/>
    <w:basedOn w:val="Normal"/>
    <w:link w:val="CommentTextChar"/>
    <w:uiPriority w:val="99"/>
    <w:semiHidden/>
    <w:unhideWhenUsed/>
    <w:rsid w:val="00E21E62"/>
    <w:pPr>
      <w:spacing w:line="240" w:lineRule="auto"/>
    </w:pPr>
    <w:rPr>
      <w:sz w:val="20"/>
      <w:szCs w:val="20"/>
    </w:rPr>
  </w:style>
  <w:style w:type="character" w:customStyle="1" w:styleId="CommentTextChar">
    <w:name w:val="Comment Text Char"/>
    <w:basedOn w:val="DefaultParagraphFont"/>
    <w:link w:val="CommentText"/>
    <w:uiPriority w:val="99"/>
    <w:semiHidden/>
    <w:rsid w:val="00E21E62"/>
    <w:rPr>
      <w:lang w:val="tr-TR" w:eastAsia="zh-CN"/>
    </w:rPr>
  </w:style>
  <w:style w:type="paragraph" w:styleId="CommentSubject">
    <w:name w:val="annotation subject"/>
    <w:basedOn w:val="CommentText"/>
    <w:next w:val="CommentText"/>
    <w:link w:val="CommentSubjectChar"/>
    <w:uiPriority w:val="99"/>
    <w:semiHidden/>
    <w:unhideWhenUsed/>
    <w:rsid w:val="00E21E62"/>
    <w:rPr>
      <w:b/>
      <w:bCs/>
    </w:rPr>
  </w:style>
  <w:style w:type="character" w:customStyle="1" w:styleId="CommentSubjectChar">
    <w:name w:val="Comment Subject Char"/>
    <w:basedOn w:val="CommentTextChar"/>
    <w:link w:val="CommentSubject"/>
    <w:uiPriority w:val="99"/>
    <w:semiHidden/>
    <w:rsid w:val="00E21E62"/>
    <w:rPr>
      <w:b/>
      <w:bCs/>
      <w:lang w:val="tr-TR" w:eastAsia="zh-CN"/>
    </w:rPr>
  </w:style>
  <w:style w:type="paragraph" w:styleId="BalloonText">
    <w:name w:val="Balloon Text"/>
    <w:basedOn w:val="Normal"/>
    <w:link w:val="BalloonTextChar"/>
    <w:uiPriority w:val="99"/>
    <w:semiHidden/>
    <w:unhideWhenUsed/>
    <w:rsid w:val="00E2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62"/>
    <w:rPr>
      <w:rFonts w:ascii="Tahoma" w:hAnsi="Tahoma" w:cs="Tahoma"/>
      <w:sz w:val="16"/>
      <w:szCs w:val="16"/>
      <w:lang w:val="tr-T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18344">
      <w:bodyDiv w:val="1"/>
      <w:marLeft w:val="0"/>
      <w:marRight w:val="0"/>
      <w:marTop w:val="0"/>
      <w:marBottom w:val="0"/>
      <w:divBdr>
        <w:top w:val="none" w:sz="0" w:space="0" w:color="auto"/>
        <w:left w:val="none" w:sz="0" w:space="0" w:color="auto"/>
        <w:bottom w:val="none" w:sz="0" w:space="0" w:color="auto"/>
        <w:right w:val="none" w:sz="0" w:space="0" w:color="auto"/>
      </w:divBdr>
      <w:divsChild>
        <w:div w:id="6445646">
          <w:marLeft w:val="0"/>
          <w:marRight w:val="0"/>
          <w:marTop w:val="0"/>
          <w:marBottom w:val="0"/>
          <w:divBdr>
            <w:top w:val="none" w:sz="0" w:space="0" w:color="auto"/>
            <w:left w:val="none" w:sz="0" w:space="0" w:color="auto"/>
            <w:bottom w:val="single" w:sz="8" w:space="1" w:color="auto"/>
            <w:right w:val="none" w:sz="0" w:space="0" w:color="auto"/>
          </w:divBdr>
        </w:div>
        <w:div w:id="194856613">
          <w:marLeft w:val="0"/>
          <w:marRight w:val="0"/>
          <w:marTop w:val="0"/>
          <w:marBottom w:val="0"/>
          <w:divBdr>
            <w:top w:val="none" w:sz="0" w:space="0" w:color="auto"/>
            <w:left w:val="none" w:sz="0" w:space="0" w:color="auto"/>
            <w:bottom w:val="single" w:sz="12" w:space="1" w:color="auto"/>
            <w:right w:val="none" w:sz="0" w:space="0" w:color="auto"/>
          </w:divBdr>
        </w:div>
        <w:div w:id="321858272">
          <w:marLeft w:val="0"/>
          <w:marRight w:val="0"/>
          <w:marTop w:val="0"/>
          <w:marBottom w:val="0"/>
          <w:divBdr>
            <w:top w:val="none" w:sz="0" w:space="0" w:color="auto"/>
            <w:left w:val="none" w:sz="0" w:space="0" w:color="auto"/>
            <w:bottom w:val="single" w:sz="8" w:space="1" w:color="auto"/>
            <w:right w:val="none" w:sz="0" w:space="0" w:color="auto"/>
          </w:divBdr>
        </w:div>
        <w:div w:id="395399661">
          <w:marLeft w:val="0"/>
          <w:marRight w:val="0"/>
          <w:marTop w:val="0"/>
          <w:marBottom w:val="0"/>
          <w:divBdr>
            <w:top w:val="none" w:sz="0" w:space="0" w:color="auto"/>
            <w:left w:val="none" w:sz="0" w:space="0" w:color="auto"/>
            <w:bottom w:val="single" w:sz="8" w:space="1" w:color="auto"/>
            <w:right w:val="none" w:sz="0" w:space="0" w:color="auto"/>
          </w:divBdr>
        </w:div>
        <w:div w:id="464542178">
          <w:marLeft w:val="0"/>
          <w:marRight w:val="0"/>
          <w:marTop w:val="0"/>
          <w:marBottom w:val="0"/>
          <w:divBdr>
            <w:top w:val="none" w:sz="0" w:space="0" w:color="auto"/>
            <w:left w:val="none" w:sz="0" w:space="0" w:color="auto"/>
            <w:bottom w:val="single" w:sz="8" w:space="1" w:color="auto"/>
            <w:right w:val="none" w:sz="0" w:space="0" w:color="auto"/>
          </w:divBdr>
        </w:div>
        <w:div w:id="641741122">
          <w:marLeft w:val="0"/>
          <w:marRight w:val="0"/>
          <w:marTop w:val="0"/>
          <w:marBottom w:val="0"/>
          <w:divBdr>
            <w:top w:val="none" w:sz="0" w:space="0" w:color="auto"/>
            <w:left w:val="none" w:sz="0" w:space="0" w:color="auto"/>
            <w:bottom w:val="single" w:sz="8" w:space="1" w:color="auto"/>
            <w:right w:val="none" w:sz="0" w:space="0" w:color="auto"/>
          </w:divBdr>
        </w:div>
        <w:div w:id="932009537">
          <w:marLeft w:val="0"/>
          <w:marRight w:val="0"/>
          <w:marTop w:val="0"/>
          <w:marBottom w:val="0"/>
          <w:divBdr>
            <w:top w:val="none" w:sz="0" w:space="0" w:color="auto"/>
            <w:left w:val="none" w:sz="0" w:space="0" w:color="auto"/>
            <w:bottom w:val="single" w:sz="8" w:space="1" w:color="auto"/>
            <w:right w:val="none" w:sz="0" w:space="0" w:color="auto"/>
          </w:divBdr>
        </w:div>
        <w:div w:id="1176769890">
          <w:marLeft w:val="0"/>
          <w:marRight w:val="0"/>
          <w:marTop w:val="0"/>
          <w:marBottom w:val="0"/>
          <w:divBdr>
            <w:top w:val="none" w:sz="0" w:space="0" w:color="auto"/>
            <w:left w:val="none" w:sz="0" w:space="0" w:color="auto"/>
            <w:bottom w:val="single" w:sz="8" w:space="1" w:color="auto"/>
            <w:right w:val="none" w:sz="0" w:space="0" w:color="auto"/>
          </w:divBdr>
        </w:div>
        <w:div w:id="1276711266">
          <w:marLeft w:val="0"/>
          <w:marRight w:val="0"/>
          <w:marTop w:val="0"/>
          <w:marBottom w:val="0"/>
          <w:divBdr>
            <w:top w:val="none" w:sz="0" w:space="0" w:color="auto"/>
            <w:left w:val="none" w:sz="0" w:space="0" w:color="auto"/>
            <w:bottom w:val="single" w:sz="8" w:space="1" w:color="auto"/>
            <w:right w:val="none" w:sz="0" w:space="0" w:color="auto"/>
          </w:divBdr>
        </w:div>
        <w:div w:id="1585650611">
          <w:marLeft w:val="0"/>
          <w:marRight w:val="0"/>
          <w:marTop w:val="0"/>
          <w:marBottom w:val="0"/>
          <w:divBdr>
            <w:top w:val="none" w:sz="0" w:space="0" w:color="auto"/>
            <w:left w:val="none" w:sz="0" w:space="0" w:color="auto"/>
            <w:bottom w:val="single" w:sz="8" w:space="1" w:color="auto"/>
            <w:right w:val="none" w:sz="0" w:space="0" w:color="auto"/>
          </w:divBdr>
        </w:div>
        <w:div w:id="1878858674">
          <w:marLeft w:val="0"/>
          <w:marRight w:val="0"/>
          <w:marTop w:val="0"/>
          <w:marBottom w:val="0"/>
          <w:divBdr>
            <w:top w:val="none" w:sz="0" w:space="0" w:color="auto"/>
            <w:left w:val="none" w:sz="0" w:space="0" w:color="auto"/>
            <w:bottom w:val="single" w:sz="8" w:space="1" w:color="auto"/>
            <w:right w:val="none" w:sz="0" w:space="0" w:color="auto"/>
          </w:divBdr>
        </w:div>
        <w:div w:id="1930845822">
          <w:marLeft w:val="0"/>
          <w:marRight w:val="0"/>
          <w:marTop w:val="0"/>
          <w:marBottom w:val="0"/>
          <w:divBdr>
            <w:top w:val="none" w:sz="0" w:space="0" w:color="auto"/>
            <w:left w:val="none" w:sz="0" w:space="0" w:color="auto"/>
            <w:bottom w:val="single" w:sz="8" w:space="1" w:color="auto"/>
            <w:right w:val="none" w:sz="0" w:space="0" w:color="auto"/>
          </w:divBdr>
        </w:div>
        <w:div w:id="197128542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NEW_PC</dc:creator>
  <cp:lastModifiedBy>Selcuk Aksin Somel</cp:lastModifiedBy>
  <cp:revision>8</cp:revision>
  <dcterms:created xsi:type="dcterms:W3CDTF">2020-01-20T21:06:00Z</dcterms:created>
  <dcterms:modified xsi:type="dcterms:W3CDTF">2022-02-17T15:58:00Z</dcterms:modified>
</cp:coreProperties>
</file>